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auto"/>
          <w:szCs w:val="24"/>
          <w:highlight w:val="none"/>
        </w:rPr>
      </w:pPr>
    </w:p>
    <w:p>
      <w:pPr>
        <w:pStyle w:val="11"/>
        <w:ind w:firstLine="0" w:firstLineChars="0"/>
        <w:rPr>
          <w:rFonts w:ascii="宋体" w:hAnsi="宋体" w:cs="宋体"/>
          <w:color w:val="auto"/>
          <w:sz w:val="36"/>
          <w:szCs w:val="36"/>
          <w:highlight w:val="none"/>
        </w:rPr>
      </w:pPr>
    </w:p>
    <w:p>
      <w:pPr>
        <w:pStyle w:val="11"/>
        <w:ind w:firstLine="0" w:firstLineChars="0"/>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72"/>
          <w:szCs w:val="72"/>
          <w:highlight w:val="none"/>
          <w:lang w:eastAsia="zh-CN"/>
        </w:rPr>
        <w:t>佛山市公安局禅城分局2024年度车辆保险项目</w:t>
      </w:r>
    </w:p>
    <w:p>
      <w:pPr>
        <w:pStyle w:val="11"/>
        <w:ind w:firstLine="0" w:firstLineChars="0"/>
        <w:rPr>
          <w:rFonts w:ascii="宋体" w:hAnsi="宋体" w:cs="宋体"/>
          <w:b/>
          <w:bCs/>
          <w:color w:val="auto"/>
          <w:sz w:val="36"/>
          <w:szCs w:val="36"/>
          <w:highlight w:val="none"/>
        </w:rPr>
      </w:pPr>
    </w:p>
    <w:p>
      <w:pPr>
        <w:pStyle w:val="11"/>
        <w:ind w:firstLine="723"/>
        <w:rPr>
          <w:rFonts w:ascii="宋体" w:hAnsi="宋体" w:cs="宋体"/>
          <w:b/>
          <w:bCs/>
          <w:color w:val="auto"/>
          <w:sz w:val="36"/>
          <w:szCs w:val="36"/>
          <w:highlight w:val="none"/>
        </w:rPr>
      </w:pPr>
    </w:p>
    <w:p>
      <w:pPr>
        <w:pStyle w:val="11"/>
        <w:ind w:firstLine="723"/>
        <w:rPr>
          <w:rFonts w:ascii="宋体" w:hAnsi="宋体" w:cs="宋体"/>
          <w:b/>
          <w:bCs/>
          <w:color w:val="auto"/>
          <w:sz w:val="36"/>
          <w:szCs w:val="36"/>
          <w:highlight w:val="none"/>
        </w:rPr>
      </w:pPr>
    </w:p>
    <w:p>
      <w:pPr>
        <w:pStyle w:val="11"/>
        <w:ind w:firstLine="723"/>
        <w:rPr>
          <w:rFonts w:ascii="宋体" w:hAnsi="宋体" w:cs="宋体"/>
          <w:b/>
          <w:bCs/>
          <w:color w:val="auto"/>
          <w:sz w:val="36"/>
          <w:szCs w:val="36"/>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竞 争 性 磋 商 文 件</w:t>
      </w:r>
    </w:p>
    <w:p>
      <w:pPr>
        <w:pStyle w:val="11"/>
        <w:ind w:firstLine="723"/>
        <w:rPr>
          <w:rFonts w:ascii="宋体" w:hAnsi="宋体" w:cs="宋体"/>
          <w:b/>
          <w:bCs/>
          <w:color w:val="auto"/>
          <w:sz w:val="36"/>
          <w:szCs w:val="36"/>
          <w:highlight w:val="none"/>
        </w:rPr>
      </w:pPr>
    </w:p>
    <w:p>
      <w:pPr>
        <w:pStyle w:val="11"/>
        <w:ind w:firstLine="0" w:firstLineChars="0"/>
        <w:rPr>
          <w:rFonts w:ascii="宋体" w:hAnsi="宋体" w:cs="宋体"/>
          <w:b/>
          <w:bCs/>
          <w:color w:val="auto"/>
          <w:sz w:val="36"/>
          <w:szCs w:val="36"/>
          <w:highlight w:val="none"/>
        </w:rPr>
      </w:pPr>
    </w:p>
    <w:p>
      <w:pPr>
        <w:spacing w:line="360" w:lineRule="auto"/>
        <w:rPr>
          <w:rFonts w:ascii="宋体" w:hAnsi="宋体" w:cs="宋体"/>
          <w:b/>
          <w:bCs/>
          <w:color w:val="auto"/>
          <w:sz w:val="36"/>
          <w:szCs w:val="36"/>
          <w:highlight w:val="none"/>
        </w:rPr>
      </w:pPr>
    </w:p>
    <w:p>
      <w:pPr>
        <w:pStyle w:val="49"/>
        <w:spacing w:line="360" w:lineRule="auto"/>
        <w:rPr>
          <w:rFonts w:hint="default" w:cs="宋体"/>
          <w:color w:val="auto"/>
          <w:highlight w:val="none"/>
        </w:rPr>
      </w:pPr>
    </w:p>
    <w:p>
      <w:pPr>
        <w:spacing w:line="360" w:lineRule="auto"/>
        <w:ind w:right="-70" w:rightChars="-29" w:firstLine="1928" w:firstLineChars="6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color w:val="auto"/>
          <w:sz w:val="32"/>
          <w:szCs w:val="32"/>
          <w:highlight w:val="none"/>
          <w:lang w:eastAsia="zh-CN"/>
        </w:rPr>
        <w:t>佛山市公安局禅城分局</w:t>
      </w:r>
    </w:p>
    <w:p>
      <w:pPr>
        <w:spacing w:line="360" w:lineRule="auto"/>
        <w:ind w:right="-70" w:rightChars="-29" w:firstLine="1928" w:firstLineChars="600"/>
        <w:rPr>
          <w:rFonts w:ascii="宋体" w:hAnsi="宋体" w:cs="宋体"/>
          <w:b/>
          <w:bCs/>
          <w:color w:val="auto"/>
          <w:sz w:val="32"/>
          <w:szCs w:val="32"/>
          <w:highlight w:val="none"/>
        </w:rPr>
      </w:pPr>
      <w:r>
        <w:rPr>
          <w:rFonts w:hint="eastAsia" w:ascii="宋体" w:hAnsi="宋体" w:cs="宋体"/>
          <w:b/>
          <w:bCs/>
          <w:color w:val="auto"/>
          <w:sz w:val="32"/>
          <w:szCs w:val="32"/>
          <w:highlight w:val="none"/>
        </w:rPr>
        <w:t>采购项目编号：</w:t>
      </w:r>
      <w:r>
        <w:rPr>
          <w:rFonts w:hint="eastAsia" w:ascii="宋体" w:hAnsi="宋体" w:cs="宋体"/>
          <w:b/>
          <w:bCs/>
          <w:color w:val="auto"/>
          <w:sz w:val="32"/>
          <w:szCs w:val="32"/>
          <w:highlight w:val="none"/>
          <w:lang w:eastAsia="zh-CN"/>
        </w:rPr>
        <w:t>HRC23FSCS1001</w:t>
      </w:r>
      <w:r>
        <w:rPr>
          <w:rFonts w:hint="eastAsia" w:ascii="宋体" w:hAnsi="宋体" w:cs="宋体"/>
          <w:color w:val="auto"/>
          <w:highlight w:val="none"/>
        </w:rPr>
        <w:fldChar w:fldCharType="begin"/>
      </w:r>
      <w:r>
        <w:rPr>
          <w:rFonts w:hint="eastAsia" w:ascii="宋体" w:hAnsi="宋体" w:cs="宋体"/>
          <w:color w:val="auto"/>
          <w:highlight w:val="none"/>
        </w:rPr>
        <w:instrText xml:space="preserve"> DOCVARIABLE  采购编号  \* MERGEFORMAT </w:instrText>
      </w:r>
      <w:r>
        <w:rPr>
          <w:rFonts w:hint="eastAsia" w:ascii="宋体" w:hAnsi="宋体" w:cs="宋体"/>
          <w:color w:val="auto"/>
          <w:highlight w:val="none"/>
        </w:rPr>
        <w:fldChar w:fldCharType="end"/>
      </w:r>
    </w:p>
    <w:p>
      <w:pPr>
        <w:pStyle w:val="11"/>
        <w:ind w:left="0" w:leftChars="0" w:firstLine="0" w:firstLineChars="0"/>
        <w:rPr>
          <w:rFonts w:ascii="宋体" w:hAnsi="宋体" w:cs="宋体"/>
          <w:color w:val="auto"/>
          <w:sz w:val="32"/>
          <w:szCs w:val="32"/>
          <w:highlight w:val="none"/>
        </w:rPr>
      </w:pPr>
    </w:p>
    <w:p>
      <w:pPr>
        <w:spacing w:line="360" w:lineRule="auto"/>
        <w:rPr>
          <w:rFonts w:ascii="宋体" w:hAnsi="宋体" w:cs="宋体"/>
          <w:b/>
          <w:bCs/>
          <w:color w:val="auto"/>
          <w:sz w:val="32"/>
          <w:szCs w:val="32"/>
          <w:highlight w:val="none"/>
        </w:rPr>
      </w:pPr>
    </w:p>
    <w:p>
      <w:pPr>
        <w:pStyle w:val="46"/>
        <w:rPr>
          <w:rFonts w:ascii="宋体" w:hAnsi="宋体" w:cs="宋体"/>
          <w:b/>
          <w:bCs/>
          <w:color w:val="auto"/>
          <w:sz w:val="32"/>
          <w:szCs w:val="32"/>
          <w:highlight w:val="none"/>
        </w:rPr>
      </w:pPr>
    </w:p>
    <w:p>
      <w:pPr>
        <w:pStyle w:val="46"/>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华睿诚项目管理有限公司 编制</w:t>
      </w:r>
    </w:p>
    <w:p>
      <w:pPr>
        <w:spacing w:line="360" w:lineRule="auto"/>
        <w:jc w:val="center"/>
        <w:rPr>
          <w:rFonts w:ascii="宋体" w:hAnsi="宋体" w:cs="宋体"/>
          <w:b/>
          <w:color w:val="auto"/>
          <w:sz w:val="32"/>
          <w:szCs w:val="32"/>
          <w:highlight w:val="none"/>
        </w:rPr>
      </w:pPr>
      <w:r>
        <w:rPr>
          <w:rFonts w:hint="eastAsia" w:ascii="宋体" w:hAnsi="宋体" w:cs="宋体"/>
          <w:b/>
          <w:bCs/>
          <w:color w:val="auto"/>
          <w:sz w:val="32"/>
          <w:szCs w:val="32"/>
          <w:highlight w:val="none"/>
          <w:lang w:eastAsia="zh-CN"/>
        </w:rPr>
        <w:t>2023年</w:t>
      </w:r>
      <w:r>
        <w:rPr>
          <w:rFonts w:hint="eastAsia" w:ascii="宋体" w:hAnsi="宋体" w:cs="宋体"/>
          <w:b/>
          <w:bCs/>
          <w:color w:val="auto"/>
          <w:sz w:val="32"/>
          <w:szCs w:val="32"/>
          <w:highlight w:val="none"/>
          <w:lang w:val="en-US" w:eastAsia="zh-CN"/>
        </w:rPr>
        <w:t>11</w:t>
      </w:r>
      <w:r>
        <w:rPr>
          <w:rFonts w:hint="eastAsia" w:ascii="宋体" w:hAnsi="宋体" w:cs="宋体"/>
          <w:b/>
          <w:bCs/>
          <w:color w:val="auto"/>
          <w:sz w:val="32"/>
          <w:szCs w:val="32"/>
          <w:highlight w:val="none"/>
        </w:rPr>
        <w:t>月</w:t>
      </w:r>
    </w:p>
    <w:p>
      <w:pPr>
        <w:spacing w:line="360" w:lineRule="auto"/>
        <w:jc w:val="center"/>
        <w:rPr>
          <w:rFonts w:ascii="宋体" w:hAnsi="宋体" w:cs="宋体"/>
          <w:b/>
          <w:color w:val="auto"/>
          <w:szCs w:val="24"/>
          <w:highlight w:val="none"/>
        </w:rPr>
        <w:sectPr>
          <w:headerReference r:id="rId4" w:type="first"/>
          <w:footerReference r:id="rId5" w:type="default"/>
          <w:headerReference r:id="rId3" w:type="even"/>
          <w:footerReference r:id="rId6" w:type="even"/>
          <w:type w:val="nextColumn"/>
          <w:pgSz w:w="11906" w:h="16838"/>
          <w:pgMar w:top="1247" w:right="1304" w:bottom="1247" w:left="1304" w:header="777" w:footer="714" w:gutter="0"/>
          <w:pgBorders>
            <w:top w:val="none" w:sz="0" w:space="0"/>
            <w:left w:val="none" w:sz="0" w:space="0"/>
            <w:bottom w:val="none" w:sz="0" w:space="0"/>
            <w:right w:val="none" w:sz="0" w:space="0"/>
          </w:pgBorders>
          <w:pgNumType w:start="0"/>
          <w:cols w:space="720" w:num="1"/>
          <w:titlePg/>
          <w:docGrid w:type="lines" w:linePitch="312" w:charSpace="0"/>
        </w:sectPr>
      </w:pPr>
    </w:p>
    <w:p>
      <w:pPr>
        <w:spacing w:line="360" w:lineRule="auto"/>
        <w:rPr>
          <w:rFonts w:ascii="宋体" w:hAnsi="宋体" w:cs="宋体"/>
          <w:b/>
          <w:color w:val="auto"/>
          <w:szCs w:val="24"/>
          <w:highlight w:val="none"/>
        </w:rPr>
      </w:pPr>
    </w:p>
    <w:p>
      <w:pPr>
        <w:spacing w:line="360" w:lineRule="auto"/>
        <w:jc w:val="center"/>
        <w:rPr>
          <w:rFonts w:ascii="宋体" w:hAnsi="宋体" w:cs="宋体"/>
          <w:b/>
          <w:color w:val="auto"/>
          <w:szCs w:val="24"/>
          <w:highlight w:val="none"/>
        </w:rPr>
      </w:pPr>
      <w:bookmarkStart w:id="0" w:name="_Toc436739726"/>
      <w:r>
        <w:rPr>
          <w:rFonts w:hint="eastAsia" w:ascii="宋体" w:hAnsi="宋体" w:cs="宋体"/>
          <w:b/>
          <w:color w:val="auto"/>
          <w:szCs w:val="24"/>
          <w:highlight w:val="none"/>
        </w:rPr>
        <w:t>温馨提示</w:t>
      </w:r>
      <w:bookmarkEnd w:id="0"/>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一、  如无另行说明，响应文件递交时间为</w:t>
      </w:r>
      <w:r>
        <w:rPr>
          <w:rFonts w:hint="eastAsia" w:ascii="宋体" w:hAnsi="宋体" w:cs="宋体"/>
          <w:b/>
          <w:color w:val="auto"/>
          <w:szCs w:val="24"/>
          <w:highlight w:val="none"/>
          <w:u w:val="single"/>
        </w:rPr>
        <w:t>递交截止时间（提交响应文件截止时间）之前30分钟</w:t>
      </w:r>
      <w:r>
        <w:rPr>
          <w:rFonts w:hint="eastAsia" w:ascii="宋体" w:hAnsi="宋体" w:cs="宋体"/>
          <w:color w:val="auto"/>
          <w:szCs w:val="24"/>
          <w:highlight w:val="none"/>
        </w:rPr>
        <w:t>内。</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二、  为避免因迟到而失去投标资格，请</w:t>
      </w:r>
      <w:r>
        <w:rPr>
          <w:rFonts w:hint="eastAsia" w:ascii="宋体" w:hAnsi="宋体" w:cs="宋体"/>
          <w:b/>
          <w:color w:val="auto"/>
          <w:szCs w:val="24"/>
          <w:highlight w:val="none"/>
          <w:u w:val="single"/>
        </w:rPr>
        <w:t>适当提前到达</w:t>
      </w:r>
      <w:r>
        <w:rPr>
          <w:rFonts w:hint="eastAsia" w:ascii="宋体" w:hAnsi="宋体" w:cs="宋体"/>
          <w:color w:val="auto"/>
          <w:szCs w:val="24"/>
          <w:highlight w:val="none"/>
        </w:rPr>
        <w:t>。</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三、  响应文件应按顺序编制页码。</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四、  请仔细检查响应文件是否已按磋商文件要求</w:t>
      </w:r>
      <w:r>
        <w:rPr>
          <w:rFonts w:hint="eastAsia" w:ascii="宋体" w:hAnsi="宋体" w:cs="宋体"/>
          <w:b/>
          <w:color w:val="auto"/>
          <w:szCs w:val="24"/>
          <w:highlight w:val="none"/>
          <w:u w:val="single"/>
        </w:rPr>
        <w:t>盖章、签名、签署日期</w:t>
      </w:r>
      <w:r>
        <w:rPr>
          <w:rFonts w:hint="eastAsia" w:ascii="宋体" w:hAnsi="宋体" w:cs="宋体"/>
          <w:color w:val="auto"/>
          <w:szCs w:val="24"/>
          <w:highlight w:val="none"/>
        </w:rPr>
        <w:t>。</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五、  请正确填写《报价一览表》。</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六、  多子包/标段项目请仔细检查子包号，子包/标段号与子包/标段名称必须对应。</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七、  如投标（报价）产品属于许可证管理范围内的，须提交相应的许可证复印件。</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八、  以联合体形式投标/响应的，请提交《联合体共同投标协议书》。</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九、投标供应商为中型、小型、微型企业的，请提交《中小企业声明函》。</w:t>
      </w:r>
    </w:p>
    <w:p>
      <w:pPr>
        <w:tabs>
          <w:tab w:val="left" w:pos="851"/>
        </w:tabs>
        <w:spacing w:line="360" w:lineRule="auto"/>
        <w:ind w:left="480" w:hanging="480" w:hangingChars="200"/>
        <w:rPr>
          <w:rFonts w:ascii="宋体" w:hAnsi="宋体" w:cs="宋体"/>
          <w:color w:val="auto"/>
          <w:szCs w:val="24"/>
          <w:highlight w:val="none"/>
        </w:rPr>
      </w:pPr>
      <w:r>
        <w:rPr>
          <w:rFonts w:hint="eastAsia" w:ascii="宋体" w:hAnsi="宋体" w:cs="宋体"/>
          <w:color w:val="auto"/>
          <w:szCs w:val="24"/>
          <w:highlight w:val="none"/>
        </w:rPr>
        <w:t>十、投标供应商如需对项目提出询问或质疑，应按在法定时间内以传真或扫描件方式告知代理机构。</w:t>
      </w:r>
    </w:p>
    <w:p>
      <w:pPr>
        <w:tabs>
          <w:tab w:val="left" w:pos="851"/>
        </w:tabs>
        <w:spacing w:line="360" w:lineRule="auto"/>
        <w:ind w:left="723" w:hanging="723" w:hangingChars="300"/>
        <w:rPr>
          <w:rFonts w:ascii="宋体" w:hAnsi="宋体" w:cs="宋体"/>
          <w:color w:val="auto"/>
          <w:szCs w:val="24"/>
          <w:highlight w:val="none"/>
        </w:rPr>
      </w:pPr>
      <w:r>
        <w:rPr>
          <w:rFonts w:hint="eastAsia" w:ascii="宋体" w:hAnsi="宋体" w:cs="宋体"/>
          <w:b/>
          <w:bCs/>
          <w:color w:val="auto"/>
          <w:szCs w:val="24"/>
          <w:highlight w:val="none"/>
        </w:rPr>
        <w:t>十</w:t>
      </w:r>
      <w:r>
        <w:rPr>
          <w:rFonts w:hint="eastAsia" w:ascii="宋体" w:hAnsi="宋体" w:cs="宋体"/>
          <w:color w:val="auto"/>
          <w:szCs w:val="24"/>
          <w:highlight w:val="none"/>
        </w:rPr>
        <w:t>一</w:t>
      </w:r>
      <w:r>
        <w:rPr>
          <w:rFonts w:hint="eastAsia" w:ascii="宋体" w:hAnsi="宋体" w:cs="宋体"/>
          <w:b/>
          <w:bCs/>
          <w:color w:val="auto"/>
          <w:szCs w:val="24"/>
          <w:highlight w:val="none"/>
        </w:rPr>
        <w:t>、根据</w:t>
      </w:r>
      <w:r>
        <w:rPr>
          <w:rFonts w:hint="eastAsia" w:ascii="宋体" w:hAnsi="宋体" w:cs="宋体"/>
          <w:b/>
          <w:bCs/>
          <w:color w:val="auto"/>
          <w:szCs w:val="24"/>
          <w:highlight w:val="none"/>
          <w:lang w:eastAsia="zh-CN"/>
        </w:rPr>
        <w:t>佛山市公安局禅城分局</w:t>
      </w:r>
      <w:r>
        <w:rPr>
          <w:rFonts w:hint="eastAsia" w:ascii="宋体" w:hAnsi="宋体" w:cs="宋体"/>
          <w:b/>
          <w:bCs/>
          <w:color w:val="auto"/>
          <w:szCs w:val="24"/>
          <w:highlight w:val="none"/>
        </w:rPr>
        <w:t>内部采购规范相关要求，已成功报名供应商无故不到场递交报价文件的，视为失信，三个月内不得参与</w:t>
      </w:r>
      <w:r>
        <w:rPr>
          <w:rFonts w:hint="eastAsia" w:ascii="宋体" w:hAnsi="宋体" w:cs="宋体"/>
          <w:b/>
          <w:bCs/>
          <w:color w:val="auto"/>
          <w:szCs w:val="24"/>
          <w:highlight w:val="none"/>
          <w:lang w:eastAsia="zh-CN"/>
        </w:rPr>
        <w:t>佛山市公安局禅城分局</w:t>
      </w:r>
      <w:r>
        <w:rPr>
          <w:rFonts w:hint="eastAsia" w:ascii="宋体" w:hAnsi="宋体" w:cs="宋体"/>
          <w:b/>
          <w:bCs/>
          <w:color w:val="auto"/>
          <w:szCs w:val="24"/>
          <w:highlight w:val="none"/>
        </w:rPr>
        <w:t>所有内部采购项目的采购活动；累计两次的，将直接列入失信供应商黑名单，今后不得再参加</w:t>
      </w:r>
      <w:r>
        <w:rPr>
          <w:rFonts w:hint="eastAsia" w:ascii="宋体" w:hAnsi="宋体" w:cs="宋体"/>
          <w:b/>
          <w:bCs/>
          <w:color w:val="auto"/>
          <w:szCs w:val="24"/>
          <w:highlight w:val="none"/>
          <w:lang w:eastAsia="zh-CN"/>
        </w:rPr>
        <w:t>佛山市公安局禅城分局</w:t>
      </w:r>
      <w:r>
        <w:rPr>
          <w:rFonts w:hint="eastAsia" w:ascii="宋体" w:hAnsi="宋体" w:cs="宋体"/>
          <w:b/>
          <w:bCs/>
          <w:color w:val="auto"/>
          <w:szCs w:val="24"/>
          <w:highlight w:val="none"/>
        </w:rPr>
        <w:t>所有内部采购项目的报价活动。请各供应商务必重视！已成功报名确因不可抗拒力而未能到场报价，须于开标前一日明确告知，经同意后方可视为无失信责任。</w:t>
      </w:r>
    </w:p>
    <w:p>
      <w:pPr>
        <w:tabs>
          <w:tab w:val="left" w:pos="851"/>
        </w:tabs>
        <w:spacing w:line="360" w:lineRule="auto"/>
        <w:ind w:left="720" w:hanging="720" w:hangingChars="300"/>
        <w:rPr>
          <w:rFonts w:ascii="宋体" w:hAnsi="宋体" w:cs="宋体"/>
          <w:color w:val="auto"/>
          <w:szCs w:val="24"/>
          <w:highlight w:val="none"/>
        </w:rPr>
      </w:pPr>
      <w:r>
        <w:rPr>
          <w:rFonts w:hint="eastAsia" w:ascii="宋体" w:hAnsi="宋体" w:cs="宋体"/>
          <w:color w:val="auto"/>
          <w:szCs w:val="24"/>
          <w:highlight w:val="none"/>
        </w:rPr>
        <w:t>十二、因场地有限，本代理机构无法提供停车位，不便之处敬请谅解。如有需要，请到周边的停车场停车。</w:t>
      </w:r>
    </w:p>
    <w:p>
      <w:pPr>
        <w:tabs>
          <w:tab w:val="left" w:pos="851"/>
        </w:tabs>
        <w:spacing w:line="360" w:lineRule="auto"/>
        <w:ind w:left="720" w:hanging="720" w:hangingChars="300"/>
        <w:rPr>
          <w:rFonts w:ascii="宋体" w:hAnsi="宋体" w:cs="宋体"/>
          <w:b/>
          <w:color w:val="auto"/>
          <w:szCs w:val="24"/>
          <w:highlight w:val="none"/>
        </w:rPr>
      </w:pPr>
      <w:r>
        <w:rPr>
          <w:rFonts w:hint="eastAsia" w:ascii="宋体" w:hAnsi="宋体" w:cs="宋体"/>
          <w:color w:val="auto"/>
          <w:szCs w:val="24"/>
          <w:highlight w:val="none"/>
        </w:rPr>
        <w:t>十三、由于递交响应文件地点所处位置路段繁忙及停车紧张，</w:t>
      </w:r>
      <w:r>
        <w:rPr>
          <w:rFonts w:hint="eastAsia" w:ascii="宋体" w:hAnsi="宋体" w:cs="宋体"/>
          <w:b/>
          <w:color w:val="auto"/>
          <w:szCs w:val="24"/>
          <w:highlight w:val="none"/>
          <w:u w:val="single"/>
        </w:rPr>
        <w:t>递交响应文件时务请提早到达！</w:t>
      </w:r>
    </w:p>
    <w:p>
      <w:pPr>
        <w:spacing w:line="360" w:lineRule="auto"/>
        <w:jc w:val="right"/>
        <w:rPr>
          <w:rFonts w:ascii="宋体" w:hAnsi="宋体" w:cs="宋体"/>
          <w:color w:val="auto"/>
          <w:szCs w:val="24"/>
          <w:highlight w:val="none"/>
        </w:rPr>
      </w:pPr>
    </w:p>
    <w:p>
      <w:pPr>
        <w:spacing w:line="360" w:lineRule="auto"/>
        <w:jc w:val="both"/>
        <w:rPr>
          <w:rFonts w:ascii="宋体" w:hAnsi="宋体" w:cs="宋体"/>
          <w:color w:val="auto"/>
          <w:szCs w:val="24"/>
          <w:highlight w:val="none"/>
        </w:rPr>
      </w:pPr>
      <w:r>
        <w:rPr>
          <w:rFonts w:hint="eastAsia" w:ascii="宋体" w:hAnsi="宋体" w:cs="宋体"/>
          <w:color w:val="auto"/>
          <w:szCs w:val="24"/>
          <w:highlight w:val="none"/>
        </w:rPr>
        <w:t>（本提示内容非磋商文件的组成部分，仅为善意提醒。如有不一致，以磋商文件为准）</w:t>
      </w:r>
    </w:p>
    <w:p>
      <w:pPr>
        <w:spacing w:line="360" w:lineRule="auto"/>
        <w:rPr>
          <w:rFonts w:ascii="宋体" w:hAnsi="宋体" w:cs="宋体"/>
          <w:b/>
          <w:color w:val="auto"/>
          <w:szCs w:val="24"/>
          <w:highlight w:val="none"/>
        </w:rPr>
        <w:sectPr>
          <w:headerReference r:id="rId7" w:type="default"/>
          <w:footerReference r:id="rId8" w:type="default"/>
          <w:pgSz w:w="11906" w:h="16838"/>
          <w:pgMar w:top="1440" w:right="1286" w:bottom="1440" w:left="144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1"/>
        <w:ind w:firstLine="480"/>
        <w:rPr>
          <w:rFonts w:ascii="宋体" w:hAnsi="宋体" w:cs="宋体"/>
          <w:color w:val="auto"/>
          <w:szCs w:val="24"/>
          <w:highlight w:val="none"/>
        </w:rPr>
      </w:pP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pPr>
        <w:pStyle w:val="23"/>
        <w:tabs>
          <w:tab w:val="right" w:leader="dot" w:pos="9180"/>
          <w:tab w:val="clear" w:pos="9288"/>
        </w:tabs>
        <w:spacing w:line="72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sz w:val="28"/>
          <w:szCs w:val="24"/>
          <w:highlight w:val="none"/>
        </w:rPr>
        <w:fldChar w:fldCharType="begin"/>
      </w:r>
      <w:r>
        <w:rPr>
          <w:color w:val="auto"/>
          <w:sz w:val="28"/>
          <w:szCs w:val="24"/>
          <w:highlight w:val="none"/>
        </w:rPr>
        <w:instrText xml:space="preserve"> HYPERLINK \l "_Toc25019" </w:instrText>
      </w:r>
      <w:r>
        <w:rPr>
          <w:color w:val="auto"/>
          <w:sz w:val="28"/>
          <w:szCs w:val="24"/>
          <w:highlight w:val="none"/>
        </w:rPr>
        <w:fldChar w:fldCharType="separate"/>
      </w:r>
      <w:r>
        <w:rPr>
          <w:rFonts w:hint="eastAsia" w:ascii="宋体" w:hAnsi="宋体" w:cs="宋体"/>
          <w:color w:val="auto"/>
          <w:sz w:val="28"/>
          <w:szCs w:val="28"/>
          <w:highlight w:val="none"/>
        </w:rPr>
        <w:t>第一部分  磋商邀请函</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_Toc25019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3"/>
        <w:tabs>
          <w:tab w:val="right" w:leader="dot" w:pos="9180"/>
          <w:tab w:val="clear" w:pos="9288"/>
        </w:tabs>
        <w:spacing w:line="720" w:lineRule="auto"/>
        <w:rPr>
          <w:rFonts w:ascii="宋体" w:hAnsi="宋体" w:cs="宋体"/>
          <w:color w:val="auto"/>
          <w:sz w:val="28"/>
          <w:szCs w:val="28"/>
          <w:highlight w:val="none"/>
        </w:rPr>
      </w:pPr>
      <w:r>
        <w:rPr>
          <w:color w:val="auto"/>
          <w:sz w:val="28"/>
          <w:szCs w:val="24"/>
          <w:highlight w:val="none"/>
        </w:rPr>
        <w:fldChar w:fldCharType="begin"/>
      </w:r>
      <w:r>
        <w:rPr>
          <w:color w:val="auto"/>
          <w:sz w:val="28"/>
          <w:szCs w:val="24"/>
          <w:highlight w:val="none"/>
        </w:rPr>
        <w:instrText xml:space="preserve"> HYPERLINK \l "_Toc13738" </w:instrText>
      </w:r>
      <w:r>
        <w:rPr>
          <w:color w:val="auto"/>
          <w:sz w:val="28"/>
          <w:szCs w:val="24"/>
          <w:highlight w:val="none"/>
        </w:rPr>
        <w:fldChar w:fldCharType="separate"/>
      </w:r>
      <w:r>
        <w:rPr>
          <w:rFonts w:hint="eastAsia" w:ascii="宋体" w:hAnsi="宋体" w:cs="宋体"/>
          <w:color w:val="auto"/>
          <w:sz w:val="28"/>
          <w:szCs w:val="28"/>
          <w:highlight w:val="none"/>
        </w:rPr>
        <w:t>第二部分  采购项目内容</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_Toc13738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3"/>
        <w:tabs>
          <w:tab w:val="right" w:leader="dot" w:pos="9180"/>
          <w:tab w:val="clear" w:pos="9288"/>
        </w:tabs>
        <w:spacing w:line="720" w:lineRule="auto"/>
        <w:rPr>
          <w:rFonts w:hint="default" w:ascii="宋体" w:hAnsi="宋体" w:eastAsia="宋体" w:cs="宋体"/>
          <w:color w:val="auto"/>
          <w:sz w:val="28"/>
          <w:szCs w:val="28"/>
          <w:highlight w:val="none"/>
          <w:lang w:val="en-US" w:eastAsia="zh-CN"/>
        </w:rPr>
      </w:pPr>
      <w:r>
        <w:rPr>
          <w:color w:val="auto"/>
          <w:sz w:val="28"/>
          <w:szCs w:val="24"/>
          <w:highlight w:val="none"/>
        </w:rPr>
        <w:fldChar w:fldCharType="begin"/>
      </w:r>
      <w:r>
        <w:rPr>
          <w:color w:val="auto"/>
          <w:sz w:val="28"/>
          <w:szCs w:val="24"/>
          <w:highlight w:val="none"/>
        </w:rPr>
        <w:instrText xml:space="preserve"> HYPERLINK \l "_Toc25829" </w:instrText>
      </w:r>
      <w:r>
        <w:rPr>
          <w:color w:val="auto"/>
          <w:sz w:val="28"/>
          <w:szCs w:val="24"/>
          <w:highlight w:val="none"/>
        </w:rPr>
        <w:fldChar w:fldCharType="separate"/>
      </w:r>
      <w:r>
        <w:rPr>
          <w:rFonts w:hint="eastAsia" w:ascii="宋体" w:hAnsi="宋体" w:cs="宋体"/>
          <w:color w:val="auto"/>
          <w:sz w:val="28"/>
          <w:szCs w:val="28"/>
          <w:highlight w:val="none"/>
        </w:rPr>
        <w:t>第三部分  供应商须</w:t>
      </w:r>
      <w:bookmarkStart w:id="1" w:name="_Hlt43677221"/>
      <w:bookmarkStart w:id="2" w:name="_Hlt43677222"/>
      <w:r>
        <w:rPr>
          <w:rFonts w:hint="eastAsia" w:ascii="宋体" w:hAnsi="宋体" w:cs="宋体"/>
          <w:color w:val="auto"/>
          <w:sz w:val="28"/>
          <w:szCs w:val="28"/>
          <w:highlight w:val="none"/>
        </w:rPr>
        <w:t>知</w:t>
      </w:r>
      <w:bookmarkEnd w:id="1"/>
      <w:bookmarkEnd w:id="2"/>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16</w:t>
      </w:r>
    </w:p>
    <w:p>
      <w:pPr>
        <w:pStyle w:val="23"/>
        <w:tabs>
          <w:tab w:val="right" w:leader="dot" w:pos="9180"/>
          <w:tab w:val="clear" w:pos="9288"/>
        </w:tabs>
        <w:spacing w:line="720" w:lineRule="auto"/>
        <w:rPr>
          <w:rFonts w:ascii="宋体" w:hAnsi="宋体" w:cs="宋体"/>
          <w:color w:val="auto"/>
          <w:sz w:val="28"/>
          <w:szCs w:val="28"/>
          <w:highlight w:val="none"/>
        </w:rPr>
      </w:pPr>
      <w:r>
        <w:rPr>
          <w:color w:val="auto"/>
          <w:sz w:val="28"/>
          <w:szCs w:val="24"/>
          <w:highlight w:val="none"/>
        </w:rPr>
        <w:fldChar w:fldCharType="begin"/>
      </w:r>
      <w:r>
        <w:rPr>
          <w:color w:val="auto"/>
          <w:sz w:val="28"/>
          <w:szCs w:val="24"/>
          <w:highlight w:val="none"/>
        </w:rPr>
        <w:instrText xml:space="preserve"> HYPERLINK \l "_Toc25158" </w:instrText>
      </w:r>
      <w:r>
        <w:rPr>
          <w:color w:val="auto"/>
          <w:sz w:val="28"/>
          <w:szCs w:val="24"/>
          <w:highlight w:val="none"/>
        </w:rPr>
        <w:fldChar w:fldCharType="separate"/>
      </w:r>
      <w:r>
        <w:rPr>
          <w:rFonts w:hint="eastAsia" w:ascii="宋体" w:hAnsi="宋体" w:cs="宋体"/>
          <w:color w:val="auto"/>
          <w:sz w:val="28"/>
          <w:szCs w:val="28"/>
          <w:highlight w:val="none"/>
        </w:rPr>
        <w:t>第四部分  合同书范本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_Toc25158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3"/>
        <w:tabs>
          <w:tab w:val="right" w:leader="dot" w:pos="9180"/>
          <w:tab w:val="clear" w:pos="9288"/>
        </w:tabs>
        <w:spacing w:line="720" w:lineRule="auto"/>
        <w:rPr>
          <w:rFonts w:hint="eastAsia" w:ascii="宋体" w:hAnsi="宋体" w:eastAsia="宋体" w:cs="宋体"/>
          <w:color w:val="auto"/>
          <w:sz w:val="28"/>
          <w:szCs w:val="28"/>
          <w:highlight w:val="none"/>
          <w:lang w:val="en-US" w:eastAsia="zh-CN"/>
        </w:rPr>
      </w:pPr>
      <w:r>
        <w:rPr>
          <w:color w:val="auto"/>
          <w:sz w:val="28"/>
          <w:szCs w:val="24"/>
          <w:highlight w:val="none"/>
        </w:rPr>
        <w:fldChar w:fldCharType="begin"/>
      </w:r>
      <w:r>
        <w:rPr>
          <w:color w:val="auto"/>
          <w:sz w:val="28"/>
          <w:szCs w:val="24"/>
          <w:highlight w:val="none"/>
        </w:rPr>
        <w:instrText xml:space="preserve"> HYPERLINK \l "_Toc26883" </w:instrText>
      </w:r>
      <w:r>
        <w:rPr>
          <w:color w:val="auto"/>
          <w:sz w:val="28"/>
          <w:szCs w:val="24"/>
          <w:highlight w:val="none"/>
        </w:rPr>
        <w:fldChar w:fldCharType="separate"/>
      </w:r>
      <w:r>
        <w:rPr>
          <w:rFonts w:hint="eastAsia" w:ascii="宋体" w:hAnsi="宋体" w:cs="宋体"/>
          <w:color w:val="auto"/>
          <w:sz w:val="28"/>
          <w:szCs w:val="28"/>
          <w:highlight w:val="none"/>
        </w:rPr>
        <w:t>第五部分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pPr>
        <w:spacing w:line="720" w:lineRule="auto"/>
        <w:rPr>
          <w:rFonts w:ascii="宋体" w:hAnsi="宋体" w:cs="宋体"/>
          <w:color w:val="auto"/>
          <w:szCs w:val="24"/>
          <w:highlight w:val="none"/>
        </w:rPr>
      </w:pPr>
      <w:r>
        <w:rPr>
          <w:rFonts w:hint="eastAsia" w:ascii="宋体" w:hAnsi="宋体" w:cs="宋体"/>
          <w:color w:val="auto"/>
          <w:sz w:val="28"/>
          <w:szCs w:val="28"/>
          <w:highlight w:val="none"/>
        </w:rPr>
        <w:fldChar w:fldCharType="end"/>
      </w: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pStyle w:val="3"/>
        <w:spacing w:line="360" w:lineRule="auto"/>
        <w:jc w:val="center"/>
        <w:rPr>
          <w:rFonts w:ascii="宋体" w:hAnsi="宋体" w:cs="宋体"/>
          <w:color w:val="auto"/>
          <w:kern w:val="2"/>
          <w:sz w:val="28"/>
          <w:szCs w:val="28"/>
          <w:highlight w:val="none"/>
        </w:rPr>
      </w:pPr>
      <w:bookmarkStart w:id="3" w:name="_Toc25019"/>
      <w:bookmarkStart w:id="4" w:name="_Toc13537"/>
      <w:r>
        <w:rPr>
          <w:rFonts w:hint="eastAsia" w:ascii="宋体" w:hAnsi="宋体" w:cs="宋体"/>
          <w:color w:val="auto"/>
          <w:kern w:val="2"/>
          <w:sz w:val="28"/>
          <w:szCs w:val="28"/>
          <w:highlight w:val="none"/>
        </w:rPr>
        <w:t>第一部分  磋商邀请函</w:t>
      </w:r>
      <w:bookmarkEnd w:id="3"/>
      <w:bookmarkEnd w:id="4"/>
    </w:p>
    <w:p>
      <w:pPr>
        <w:autoSpaceDE w:val="0"/>
        <w:autoSpaceDN w:val="0"/>
        <w:adjustRightInd w:val="0"/>
        <w:snapToGrid w:val="0"/>
        <w:spacing w:line="360" w:lineRule="auto"/>
        <w:ind w:firstLine="480" w:firstLineChars="200"/>
        <w:rPr>
          <w:rFonts w:ascii="宋体" w:hAnsi="宋体" w:cs="宋体"/>
          <w:color w:val="auto"/>
          <w:szCs w:val="24"/>
          <w:highlight w:val="none"/>
          <w:lang w:val="zh-CN"/>
        </w:rPr>
      </w:pPr>
      <w:bookmarkStart w:id="151" w:name="_GoBack"/>
      <w:bookmarkEnd w:id="151"/>
      <w:r>
        <w:rPr>
          <w:rFonts w:hint="eastAsia" w:ascii="宋体" w:hAnsi="宋体" w:cs="宋体"/>
          <w:color w:val="auto"/>
          <w:szCs w:val="24"/>
          <w:highlight w:val="none"/>
          <w:lang w:val="zh-CN"/>
        </w:rPr>
        <w:t>华睿诚项目管理有限公司受</w:t>
      </w:r>
      <w:r>
        <w:rPr>
          <w:rFonts w:hint="eastAsia" w:ascii="宋体" w:hAnsi="宋体" w:cs="宋体"/>
          <w:color w:val="auto"/>
          <w:szCs w:val="24"/>
          <w:highlight w:val="none"/>
          <w:lang w:eastAsia="zh-CN"/>
        </w:rPr>
        <w:t>佛山市公安局禅城分局</w:t>
      </w:r>
      <w:r>
        <w:rPr>
          <w:rFonts w:hint="eastAsia" w:ascii="宋体" w:hAnsi="宋体" w:cs="宋体"/>
          <w:color w:val="auto"/>
          <w:szCs w:val="24"/>
          <w:highlight w:val="none"/>
          <w:lang w:val="zh-CN"/>
        </w:rPr>
        <w:t>的委托，拟对</w:t>
      </w:r>
      <w:r>
        <w:rPr>
          <w:rFonts w:hint="eastAsia"/>
          <w:color w:val="auto"/>
          <w:sz w:val="24"/>
          <w:szCs w:val="24"/>
          <w:highlight w:val="none"/>
          <w:lang w:val="en-US" w:eastAsia="zh-CN"/>
        </w:rPr>
        <w:t>佛山市公安局禅城分局2024年度车辆保险项目</w:t>
      </w:r>
      <w:r>
        <w:rPr>
          <w:rFonts w:hint="eastAsia" w:ascii="宋体" w:hAnsi="宋体" w:cs="宋体"/>
          <w:color w:val="auto"/>
          <w:szCs w:val="24"/>
          <w:highlight w:val="none"/>
          <w:lang w:val="zh-CN"/>
        </w:rPr>
        <w:t>进行竞争性磋商，欢迎符合资格条件的供应商参加。</w:t>
      </w:r>
    </w:p>
    <w:p>
      <w:pPr>
        <w:autoSpaceDE w:val="0"/>
        <w:autoSpaceDN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lang w:val="zh-CN"/>
        </w:rPr>
        <w:t>一、采购项目编号：HRC23FSCS1001</w:t>
      </w:r>
    </w:p>
    <w:p>
      <w:pPr>
        <w:autoSpaceDE w:val="0"/>
        <w:autoSpaceDN w:val="0"/>
        <w:adjustRightInd w:val="0"/>
        <w:snapToGrid w:val="0"/>
        <w:spacing w:line="360" w:lineRule="auto"/>
        <w:rPr>
          <w:rFonts w:hint="eastAsia" w:ascii="宋体" w:hAnsi="宋体" w:cs="宋体"/>
          <w:color w:val="auto"/>
          <w:szCs w:val="24"/>
          <w:highlight w:val="none"/>
          <w:lang w:eastAsia="zh-CN"/>
        </w:rPr>
      </w:pPr>
      <w:r>
        <w:rPr>
          <w:rFonts w:hint="eastAsia" w:ascii="宋体" w:hAnsi="宋体" w:cs="宋体"/>
          <w:color w:val="auto"/>
          <w:szCs w:val="24"/>
          <w:highlight w:val="none"/>
        </w:rPr>
        <w:t>二、采购项目名称：</w:t>
      </w:r>
      <w:r>
        <w:rPr>
          <w:rFonts w:hint="eastAsia" w:ascii="宋体" w:hAnsi="宋体" w:cs="宋体"/>
          <w:color w:val="auto"/>
          <w:szCs w:val="24"/>
          <w:highlight w:val="none"/>
          <w:lang w:eastAsia="zh-CN"/>
        </w:rPr>
        <w:t>佛山市公安局禅城分局2024年度车辆保险项目</w:t>
      </w:r>
    </w:p>
    <w:p>
      <w:pPr>
        <w:autoSpaceDE w:val="0"/>
        <w:autoSpaceDN w:val="0"/>
        <w:adjustRightInd w:val="0"/>
        <w:snapToGrid w:val="0"/>
        <w:spacing w:line="360" w:lineRule="auto"/>
        <w:rPr>
          <w:rFonts w:hint="eastAsia" w:ascii="宋体" w:hAnsi="宋体" w:eastAsia="宋体" w:cs="宋体"/>
          <w:color w:val="auto"/>
          <w:szCs w:val="24"/>
          <w:highlight w:val="none"/>
          <w:lang w:val="zh-CN" w:eastAsia="zh-CN"/>
        </w:rPr>
      </w:pPr>
      <w:r>
        <w:rPr>
          <w:rFonts w:hint="eastAsia" w:ascii="宋体" w:hAnsi="宋体" w:cs="宋体"/>
          <w:color w:val="auto"/>
          <w:szCs w:val="24"/>
          <w:highlight w:val="none"/>
          <w:lang w:val="zh-CN"/>
        </w:rPr>
        <w:t>三、采购项目预算金额（元）：</w:t>
      </w:r>
      <w:r>
        <w:rPr>
          <w:rFonts w:hint="eastAsia" w:ascii="宋体" w:hAnsi="宋体" w:cs="宋体"/>
          <w:color w:val="auto"/>
          <w:szCs w:val="24"/>
          <w:highlight w:val="none"/>
        </w:rPr>
        <w:t>¥</w:t>
      </w:r>
      <w:r>
        <w:rPr>
          <w:rFonts w:hint="eastAsia" w:ascii="宋体" w:hAnsi="宋体" w:cs="宋体"/>
          <w:color w:val="auto"/>
          <w:szCs w:val="24"/>
          <w:highlight w:val="none"/>
          <w:lang w:eastAsia="zh-CN"/>
        </w:rPr>
        <w:t>702,430.00</w:t>
      </w:r>
    </w:p>
    <w:p>
      <w:pPr>
        <w:autoSpaceDE w:val="0"/>
        <w:autoSpaceDN w:val="0"/>
        <w:adjustRightInd w:val="0"/>
        <w:snapToGrid w:val="0"/>
        <w:spacing w:line="360" w:lineRule="auto"/>
        <w:rPr>
          <w:rFonts w:ascii="宋体" w:hAnsi="宋体" w:cs="宋体"/>
          <w:color w:val="auto"/>
          <w:szCs w:val="24"/>
          <w:highlight w:val="none"/>
          <w:lang w:val="zh-CN"/>
        </w:rPr>
      </w:pPr>
      <w:r>
        <w:rPr>
          <w:rFonts w:hint="eastAsia" w:ascii="宋体" w:hAnsi="宋体" w:cs="宋体"/>
          <w:color w:val="auto"/>
          <w:szCs w:val="24"/>
          <w:highlight w:val="none"/>
          <w:lang w:val="zh-CN"/>
        </w:rPr>
        <w:t>四、采购数量：1项</w:t>
      </w:r>
    </w:p>
    <w:p>
      <w:pPr>
        <w:autoSpaceDE w:val="0"/>
        <w:autoSpaceDN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五</w:t>
      </w:r>
      <w:r>
        <w:rPr>
          <w:rFonts w:hint="eastAsia" w:ascii="宋体" w:hAnsi="宋体" w:cs="宋体"/>
          <w:color w:val="auto"/>
          <w:szCs w:val="24"/>
          <w:highlight w:val="none"/>
          <w:lang w:val="zh-CN"/>
        </w:rPr>
        <w:t>、</w:t>
      </w:r>
      <w:r>
        <w:rPr>
          <w:rFonts w:hint="eastAsia" w:ascii="宋体" w:hAnsi="宋体" w:cs="宋体"/>
          <w:color w:val="auto"/>
          <w:szCs w:val="24"/>
          <w:highlight w:val="none"/>
        </w:rPr>
        <w:t>项目内容及需求：(采购项目技术规格、参数及要求，需要落实的政府采购政策)：</w:t>
      </w:r>
    </w:p>
    <w:p>
      <w:pPr>
        <w:pStyle w:val="11"/>
        <w:ind w:firstLine="480"/>
        <w:rPr>
          <w:rFonts w:ascii="宋体" w:hAnsi="宋体" w:cs="宋体"/>
          <w:color w:val="auto"/>
          <w:szCs w:val="24"/>
          <w:highlight w:val="none"/>
        </w:rPr>
      </w:pPr>
      <w:r>
        <w:rPr>
          <w:rFonts w:hint="eastAsia" w:ascii="宋体" w:hAnsi="宋体" w:cs="宋体"/>
          <w:color w:val="auto"/>
          <w:szCs w:val="24"/>
          <w:highlight w:val="none"/>
        </w:rPr>
        <w:t>1、采购项目内容及需求详见《竞争性磋商文件》第二部分采购项目内容。</w:t>
      </w:r>
    </w:p>
    <w:p>
      <w:pPr>
        <w:pStyle w:val="11"/>
        <w:ind w:firstLine="480"/>
        <w:rPr>
          <w:rFonts w:hint="eastAsia" w:ascii="宋体" w:hAnsi="宋体" w:eastAsia="宋体" w:cs="宋体"/>
          <w:color w:val="auto"/>
          <w:szCs w:val="24"/>
          <w:highlight w:val="none"/>
          <w:lang w:val="zh-CN" w:eastAsia="zh-CN"/>
        </w:rPr>
      </w:pPr>
      <w:r>
        <w:rPr>
          <w:rFonts w:hint="eastAsia" w:ascii="宋体" w:hAnsi="宋体" w:cs="宋体"/>
          <w:color w:val="auto"/>
          <w:szCs w:val="24"/>
          <w:highlight w:val="none"/>
        </w:rPr>
        <w:t>2、采购项目最高限价（元）：¥</w:t>
      </w:r>
      <w:r>
        <w:rPr>
          <w:rFonts w:hint="eastAsia" w:ascii="宋体" w:hAnsi="宋体" w:cs="宋体"/>
          <w:color w:val="auto"/>
          <w:szCs w:val="24"/>
          <w:highlight w:val="none"/>
          <w:lang w:eastAsia="zh-CN"/>
        </w:rPr>
        <w:t>702,430.00</w:t>
      </w:r>
    </w:p>
    <w:p>
      <w:pPr>
        <w:pStyle w:val="11"/>
        <w:ind w:firstLine="480"/>
        <w:rPr>
          <w:rFonts w:hint="eastAsia" w:ascii="宋体" w:hAnsi="宋体" w:cs="宋体"/>
          <w:color w:val="auto"/>
          <w:szCs w:val="24"/>
          <w:highlight w:val="none"/>
        </w:rPr>
      </w:pPr>
      <w:r>
        <w:rPr>
          <w:rFonts w:hint="eastAsia" w:ascii="宋体" w:hAnsi="宋体" w:cs="宋体"/>
          <w:color w:val="auto"/>
          <w:szCs w:val="24"/>
          <w:highlight w:val="none"/>
        </w:rPr>
        <w:t>3、资金来源：财政资金，但本项目采购内容不在集中采购目录以内且采购限额标准以下（不纳入政府采购管理范围）。</w:t>
      </w:r>
    </w:p>
    <w:p>
      <w:pPr>
        <w:pStyle w:val="11"/>
        <w:ind w:left="0" w:leftChars="0" w:firstLine="0" w:firstLineChars="0"/>
        <w:rPr>
          <w:rFonts w:hint="eastAsia" w:ascii="宋体" w:hAnsi="宋体" w:cs="宋体"/>
          <w:color w:val="auto"/>
          <w:szCs w:val="24"/>
          <w:highlight w:val="none"/>
        </w:rPr>
      </w:pPr>
      <w:r>
        <w:rPr>
          <w:rFonts w:hint="eastAsia" w:ascii="宋体" w:hAnsi="宋体" w:cs="宋体"/>
          <w:color w:val="auto"/>
          <w:szCs w:val="24"/>
          <w:highlight w:val="none"/>
        </w:rPr>
        <w:t>六、供应商资格：</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1．具备《中华人民共和国政府采购法》第二十二条规定的条件</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（1）具有独立承担民事责任的能力：在中华人民共和国境内注册的法人或其他组织或自然人，投标（响应）时提交有效的营业执照（或事业法人登记证或身份证等相关证明）副本复印件</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有依法缴纳税收和社会保障资金的良好记录：提供投标截止日前6个月内任意1个月依法缴纳税收和社会保障资金的相关材料或提供《政府采购供应商资格信用承诺函》。如依法免税或不需要缴纳社会保障资金的，提供相应证明材料</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（3）具有良好的商业信誉和健全的财务会计制度：（提供下列材料复印件之一即可）</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1）经审计的</w:t>
      </w:r>
      <w:r>
        <w:rPr>
          <w:rStyle w:val="34"/>
          <w:rFonts w:hint="eastAsia" w:ascii="宋体" w:hAnsi="宋体" w:cs="宋体"/>
          <w:b w:val="0"/>
          <w:bCs w:val="0"/>
          <w:color w:val="auto"/>
          <w:spacing w:val="0"/>
          <w:szCs w:val="24"/>
          <w:highlight w:val="none"/>
          <w:lang w:val="en-US" w:eastAsia="zh-CN"/>
        </w:rPr>
        <w:t>2022年度或2023年</w:t>
      </w:r>
      <w:r>
        <w:rPr>
          <w:rStyle w:val="34"/>
          <w:rFonts w:hint="eastAsia" w:ascii="宋体" w:hAnsi="宋体" w:eastAsia="宋体" w:cs="宋体"/>
          <w:b w:val="0"/>
          <w:bCs w:val="0"/>
          <w:color w:val="auto"/>
          <w:spacing w:val="0"/>
          <w:szCs w:val="24"/>
          <w:highlight w:val="none"/>
          <w:lang w:val="en-US" w:eastAsia="zh-CN"/>
        </w:rPr>
        <w:t>任意一季度的财务报告（要求：提供由第三方会计师事务所或审计机构出具的审计报告，能清晰显示第三方会计师事务所或审计机构的印章，并能反映审计结论。）</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2）基本开户银行出具的资信证明和开户证明材料（要求：①资信证明内容应能够清晰准确反映供应商最近6个月内任意一个月（从本项目采购公告发布之日起，往前倒推计算）的商业信誉情况和满足</w:t>
      </w:r>
      <w:r>
        <w:rPr>
          <w:rStyle w:val="34"/>
          <w:rFonts w:hint="eastAsia" w:ascii="宋体" w:hAnsi="宋体" w:cs="宋体"/>
          <w:b w:val="0"/>
          <w:bCs w:val="0"/>
          <w:color w:val="auto"/>
          <w:spacing w:val="0"/>
          <w:szCs w:val="24"/>
          <w:highlight w:val="none"/>
          <w:lang w:val="en-US" w:eastAsia="zh-CN"/>
        </w:rPr>
        <w:t>竞争性磋商</w:t>
      </w:r>
      <w:r>
        <w:rPr>
          <w:rStyle w:val="34"/>
          <w:rFonts w:hint="eastAsia" w:ascii="宋体" w:hAnsi="宋体" w:eastAsia="宋体" w:cs="宋体"/>
          <w:b w:val="0"/>
          <w:bCs w:val="0"/>
          <w:color w:val="auto"/>
          <w:spacing w:val="0"/>
          <w:szCs w:val="24"/>
          <w:highlight w:val="none"/>
          <w:lang w:val="en-US" w:eastAsia="zh-CN"/>
        </w:rPr>
        <w:t>文件有关要求。如成立时间不足</w:t>
      </w:r>
      <w:r>
        <w:rPr>
          <w:rStyle w:val="34"/>
          <w:rFonts w:hint="eastAsia" w:ascii="宋体" w:hAnsi="宋体" w:cs="宋体"/>
          <w:b w:val="0"/>
          <w:bCs w:val="0"/>
          <w:color w:val="auto"/>
          <w:spacing w:val="0"/>
          <w:szCs w:val="24"/>
          <w:highlight w:val="none"/>
          <w:lang w:val="en-US" w:eastAsia="zh-CN"/>
        </w:rPr>
        <w:t>1</w:t>
      </w:r>
      <w:r>
        <w:rPr>
          <w:rStyle w:val="34"/>
          <w:rFonts w:hint="eastAsia" w:ascii="宋体" w:hAnsi="宋体" w:eastAsia="宋体" w:cs="宋体"/>
          <w:b w:val="0"/>
          <w:bCs w:val="0"/>
          <w:color w:val="auto"/>
          <w:spacing w:val="0"/>
          <w:szCs w:val="24"/>
          <w:highlight w:val="none"/>
          <w:lang w:val="en-US" w:eastAsia="zh-CN"/>
        </w:rPr>
        <w:t>个月的，按其开立基本存款账户开户时间提供。②资信证明的落款单位名称必须与开户（基本户）的开户银行名称一致。③资信证明书格式有抬头的，可以写本项目的采购人或代理机构单位全称。④开户（基本户）许可证已取消的，应提供能体现基本开户银行的“基本存款账户信息”的相关证明。）</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3）财政部门认可的政府采购专业担保机构出具的投标担保函</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4）提供《政府采购供应商资格信用承诺函》</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（4）履行合同所必需的设备和专业技术能力：按投标（响应）文件格式填报设备及专业技术能力情况</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5）参加采购活动前3年内，在经营活动中没有重大违法记录：参照投标（报价）函相关承诺格式内容或提供《政府采购供应商资格信用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（6）法律、行政法规规定的其他条件。</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2.供应商须在中国大陆境内合法注册，能独立承担民事责任</w:t>
      </w:r>
      <w:r>
        <w:rPr>
          <w:rStyle w:val="34"/>
          <w:rFonts w:hint="eastAsia" w:ascii="宋体" w:hAnsi="宋体" w:cs="宋体"/>
          <w:b w:val="0"/>
          <w:bCs w:val="0"/>
          <w:color w:val="auto"/>
          <w:spacing w:val="0"/>
          <w:szCs w:val="24"/>
          <w:highlight w:val="none"/>
          <w:lang w:val="en-US" w:eastAsia="zh-CN"/>
        </w:rPr>
        <w:t>，</w:t>
      </w:r>
      <w:r>
        <w:rPr>
          <w:rStyle w:val="34"/>
          <w:rFonts w:hint="eastAsia" w:ascii="宋体" w:hAnsi="宋体" w:eastAsia="宋体" w:cs="宋体"/>
          <w:b w:val="0"/>
          <w:bCs w:val="0"/>
          <w:color w:val="auto"/>
          <w:spacing w:val="0"/>
          <w:szCs w:val="24"/>
          <w:highlight w:val="none"/>
          <w:lang w:val="en-US" w:eastAsia="zh-CN"/>
        </w:rPr>
        <w:t>供应商若为分公司，须同时出具总公司的营业执照以及总公司的投标授权书</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3.</w:t>
      </w:r>
      <w:r>
        <w:rPr>
          <w:rStyle w:val="34"/>
          <w:rFonts w:hint="eastAsia" w:ascii="宋体" w:hAnsi="宋体" w:eastAsia="宋体" w:cs="宋体"/>
          <w:b w:val="0"/>
          <w:bCs w:val="0"/>
          <w:color w:val="auto"/>
          <w:spacing w:val="0"/>
          <w:szCs w:val="24"/>
          <w:highlight w:val="none"/>
          <w:lang w:val="en-US" w:eastAsia="zh-CN"/>
        </w:rPr>
        <w:t>供应商未被列入“信用中国”网站(www.creditchina.gov.cn)“记录失信被执行人或税收违法黑名单（即原“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4</w:t>
      </w:r>
      <w:r>
        <w:rPr>
          <w:rStyle w:val="34"/>
          <w:rFonts w:hint="eastAsia" w:ascii="宋体" w:hAnsi="宋体" w:eastAsia="宋体" w:cs="宋体"/>
          <w:b w:val="0"/>
          <w:bCs w:val="0"/>
          <w:color w:val="auto"/>
          <w:spacing w:val="0"/>
          <w:szCs w:val="24"/>
          <w:highlight w:val="none"/>
          <w:lang w:val="en-US" w:eastAsia="zh-CN"/>
        </w:rPr>
        <w:t>.单位负责人为同一人或者存在直接控股、管理关系的不同投标人，不得同时参加本采购项目（</w:t>
      </w:r>
      <w:r>
        <w:rPr>
          <w:rStyle w:val="34"/>
          <w:rFonts w:hint="eastAsia" w:ascii="宋体" w:hAnsi="宋体" w:cs="宋体"/>
          <w:b w:val="0"/>
          <w:bCs w:val="0"/>
          <w:color w:val="auto"/>
          <w:spacing w:val="0"/>
          <w:szCs w:val="24"/>
          <w:highlight w:val="none"/>
          <w:lang w:val="en-US" w:eastAsia="zh-CN"/>
        </w:rPr>
        <w:t>包组</w:t>
      </w:r>
      <w:r>
        <w:rPr>
          <w:rStyle w:val="34"/>
          <w:rFonts w:hint="eastAsia" w:ascii="宋体" w:hAnsi="宋体" w:eastAsia="宋体" w:cs="宋体"/>
          <w:b w:val="0"/>
          <w:bCs w:val="0"/>
          <w:color w:val="auto"/>
          <w:spacing w:val="0"/>
          <w:szCs w:val="24"/>
          <w:highlight w:val="none"/>
          <w:lang w:val="en-US" w:eastAsia="zh-CN"/>
        </w:rPr>
        <w:t>）投标（响应）。为本项目提供整体设计、 规范编制或者项目管理、监理、检测等服务的投标人，不得再参与本项目投标（响应）</w:t>
      </w:r>
      <w:r>
        <w:rPr>
          <w:rStyle w:val="34"/>
          <w:rFonts w:hint="eastAsia" w:ascii="宋体" w:hAnsi="宋体" w:cs="宋体"/>
          <w:b w:val="0"/>
          <w:bCs w:val="0"/>
          <w:color w:val="auto"/>
          <w:spacing w:val="0"/>
          <w:szCs w:val="24"/>
          <w:highlight w:val="none"/>
          <w:lang w:val="en-US" w:eastAsia="zh-CN"/>
        </w:rPr>
        <w:t>。提供承诺函</w:t>
      </w:r>
      <w:r>
        <w:rPr>
          <w:rStyle w:val="34"/>
          <w:rFonts w:hint="eastAsia" w:ascii="宋体" w:hAnsi="宋体" w:eastAsia="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zCs w:val="24"/>
          <w:highlight w:val="none"/>
          <w:lang w:val="en-US" w:eastAsia="zh-CN"/>
        </w:rPr>
      </w:pPr>
      <w:r>
        <w:rPr>
          <w:rStyle w:val="34"/>
          <w:rFonts w:hint="eastAsia" w:ascii="宋体" w:hAnsi="宋体" w:eastAsia="宋体" w:cs="宋体"/>
          <w:b w:val="0"/>
          <w:bCs w:val="0"/>
          <w:color w:val="auto"/>
          <w:szCs w:val="24"/>
          <w:highlight w:val="none"/>
        </w:rPr>
        <w:t>5</w:t>
      </w:r>
      <w:r>
        <w:rPr>
          <w:rStyle w:val="34"/>
          <w:rFonts w:hint="eastAsia" w:ascii="宋体" w:hAnsi="宋体" w:eastAsia="宋体" w:cs="宋体"/>
          <w:b w:val="0"/>
          <w:bCs w:val="0"/>
          <w:color w:val="auto"/>
          <w:szCs w:val="24"/>
          <w:highlight w:val="none"/>
          <w:lang w:val="en-US" w:eastAsia="zh-CN"/>
        </w:rPr>
        <w:t>.供应商必须具有</w:t>
      </w:r>
      <w:r>
        <w:rPr>
          <w:rStyle w:val="34"/>
          <w:rFonts w:hint="eastAsia" w:ascii="宋体" w:hAnsi="宋体" w:cs="宋体"/>
          <w:b w:val="0"/>
          <w:bCs w:val="0"/>
          <w:color w:val="auto"/>
          <w:szCs w:val="24"/>
          <w:highlight w:val="none"/>
          <w:lang w:val="en-US" w:eastAsia="zh-CN"/>
        </w:rPr>
        <w:t>国家金融监督管理总局（原中国银行保险监督管理委员会）</w:t>
      </w:r>
      <w:r>
        <w:rPr>
          <w:rStyle w:val="34"/>
          <w:rFonts w:hint="eastAsia" w:ascii="宋体" w:hAnsi="宋体" w:eastAsia="宋体" w:cs="宋体"/>
          <w:b w:val="0"/>
          <w:bCs w:val="0"/>
          <w:color w:val="auto"/>
          <w:szCs w:val="24"/>
          <w:highlight w:val="none"/>
          <w:lang w:val="en-US" w:eastAsia="zh-CN"/>
        </w:rPr>
        <w:t>颁发的《经营保险业务许可证》</w:t>
      </w:r>
      <w:r>
        <w:rPr>
          <w:rFonts w:hint="eastAsia"/>
          <w:color w:val="auto"/>
          <w:highlight w:val="none"/>
        </w:rPr>
        <w:t>（分支机构投标的，若有总公司有效授权，总公司取得的相关资质证书对分支机构有效，一个总公司只能有一个分支机构参与本项目投标，如同一总公司的多个分支机构参与本项目投标，则按报名的先后顺序，取最先报名者为有效</w:t>
      </w:r>
      <w:r>
        <w:rPr>
          <w:rFonts w:hint="eastAsia"/>
          <w:color w:val="auto"/>
          <w:highlight w:val="none"/>
          <w:lang w:eastAsia="zh-CN"/>
        </w:rPr>
        <w:t>供应商</w:t>
      </w:r>
      <w:r>
        <w:rPr>
          <w:rFonts w:hint="eastAsia"/>
          <w:color w:val="auto"/>
          <w:highlight w:val="none"/>
        </w:rPr>
        <w:t>）</w:t>
      </w:r>
      <w:r>
        <w:rPr>
          <w:rStyle w:val="34"/>
          <w:rFonts w:hint="eastAsia" w:ascii="宋体" w:hAnsi="宋体" w:eastAsia="宋体" w:cs="宋体"/>
          <w:b w:val="0"/>
          <w:bCs w:val="0"/>
          <w:color w:val="auto"/>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6</w:t>
      </w:r>
      <w:r>
        <w:rPr>
          <w:rStyle w:val="34"/>
          <w:rFonts w:hint="eastAsia" w:ascii="宋体" w:hAnsi="宋体" w:eastAsia="宋体" w:cs="宋体"/>
          <w:b w:val="0"/>
          <w:bCs w:val="0"/>
          <w:color w:val="auto"/>
          <w:spacing w:val="0"/>
          <w:szCs w:val="24"/>
          <w:highlight w:val="none"/>
          <w:lang w:val="en-US" w:eastAsia="zh-CN"/>
        </w:rPr>
        <w:t>.本项目不接受磋商联合体。</w:t>
      </w:r>
    </w:p>
    <w:p>
      <w:pPr>
        <w:spacing w:line="360" w:lineRule="auto"/>
        <w:ind w:firstLine="482"/>
        <w:rPr>
          <w:rFonts w:ascii="宋体" w:hAnsi="宋体" w:cs="宋体"/>
          <w:b/>
          <w:bCs/>
          <w:color w:val="auto"/>
          <w:szCs w:val="24"/>
          <w:highlight w:val="none"/>
          <w:u w:val="single"/>
        </w:rPr>
      </w:pPr>
      <w:r>
        <w:rPr>
          <w:rStyle w:val="34"/>
          <w:rFonts w:hint="eastAsia" w:ascii="宋体" w:hAnsi="宋体" w:cs="宋体"/>
          <w:b w:val="0"/>
          <w:bCs w:val="0"/>
          <w:color w:val="auto"/>
          <w:spacing w:val="0"/>
          <w:szCs w:val="24"/>
          <w:highlight w:val="none"/>
          <w:lang w:val="en-US" w:eastAsia="zh-CN"/>
        </w:rPr>
        <w:t>7</w:t>
      </w:r>
      <w:r>
        <w:rPr>
          <w:rStyle w:val="34"/>
          <w:rFonts w:hint="eastAsia" w:ascii="宋体" w:hAnsi="宋体" w:eastAsia="宋体" w:cs="宋体"/>
          <w:b w:val="0"/>
          <w:bCs w:val="0"/>
          <w:color w:val="auto"/>
          <w:spacing w:val="0"/>
          <w:szCs w:val="24"/>
          <w:highlight w:val="none"/>
          <w:lang w:val="en-US" w:eastAsia="zh-CN"/>
        </w:rPr>
        <w:t>.</w:t>
      </w:r>
      <w:r>
        <w:rPr>
          <w:rStyle w:val="34"/>
          <w:rFonts w:hint="eastAsia" w:ascii="宋体" w:hAnsi="宋体" w:cs="宋体"/>
          <w:b w:val="0"/>
          <w:bCs w:val="0"/>
          <w:color w:val="auto"/>
          <w:spacing w:val="0"/>
          <w:szCs w:val="24"/>
          <w:highlight w:val="none"/>
          <w:lang w:val="en-US" w:eastAsia="zh-CN"/>
        </w:rPr>
        <w:t>本项目不属于专门面向中小企业采购的项目。本项目为服务类项目；根据中小企业划分标准，本项目所属行业为其他未列明行业。</w:t>
      </w:r>
    </w:p>
    <w:p>
      <w:pPr>
        <w:pStyle w:val="11"/>
        <w:ind w:left="0" w:leftChars="0" w:firstLine="0" w:firstLineChars="0"/>
        <w:rPr>
          <w:rFonts w:ascii="宋体" w:hAnsi="宋体" w:cs="宋体"/>
          <w:color w:val="auto"/>
          <w:szCs w:val="24"/>
          <w:highlight w:val="none"/>
        </w:rPr>
      </w:pPr>
      <w:r>
        <w:rPr>
          <w:rFonts w:hint="eastAsia" w:ascii="宋体" w:hAnsi="宋体" w:cs="宋体"/>
          <w:color w:val="auto"/>
          <w:szCs w:val="24"/>
          <w:highlight w:val="none"/>
        </w:rPr>
        <w:t>七、符合资格的供应商应当在</w:t>
      </w:r>
      <w:r>
        <w:rPr>
          <w:rFonts w:hint="eastAsia"/>
          <w:color w:val="auto"/>
          <w:highlight w:val="none"/>
          <w:lang w:eastAsia="zh-CN"/>
        </w:rPr>
        <w:t>2023年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8</w:t>
      </w:r>
      <w:r>
        <w:rPr>
          <w:rFonts w:hint="eastAsia"/>
          <w:color w:val="auto"/>
          <w:highlight w:val="none"/>
        </w:rPr>
        <w:t>日至 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r>
        <w:rPr>
          <w:rFonts w:hint="eastAsia" w:ascii="宋体" w:hAnsi="宋体" w:cs="宋体"/>
          <w:color w:val="auto"/>
          <w:szCs w:val="24"/>
          <w:highlight w:val="none"/>
        </w:rPr>
        <w:t>期间（上午08:30至12:00,下午14:00至17:30）到华睿诚项目管理有限公司（详细地址：佛山市南海区桂城街道季华东路31号天安中心3座1410室）购买竞争性磋商文件，竞争性磋商文件每套售价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00元（人民币），售后不退。</w:t>
      </w:r>
    </w:p>
    <w:p>
      <w:pPr>
        <w:pStyle w:val="117"/>
        <w:widowControl w:val="0"/>
        <w:shd w:val="clear" w:color="auto" w:fill="FFFFFF"/>
        <w:adjustRightInd w:val="0"/>
        <w:spacing w:before="0" w:beforeAutospacing="0" w:after="0" w:afterAutospacing="0" w:line="360" w:lineRule="auto"/>
        <w:ind w:firstLine="480" w:firstLineChars="200"/>
        <w:jc w:val="both"/>
        <w:rPr>
          <w:color w:val="auto"/>
          <w:kern w:val="2"/>
          <w:highlight w:val="none"/>
        </w:rPr>
      </w:pPr>
      <w:r>
        <w:rPr>
          <w:rFonts w:hint="eastAsia"/>
          <w:color w:val="auto"/>
          <w:kern w:val="2"/>
          <w:highlight w:val="none"/>
        </w:rPr>
        <w:t>7.1购买磋商文件需提供的资料（复印件加盖供应商公章）：</w:t>
      </w:r>
    </w:p>
    <w:p>
      <w:pPr>
        <w:pStyle w:val="117"/>
        <w:widowControl w:val="0"/>
        <w:shd w:val="clear" w:color="auto" w:fill="FFFFFF"/>
        <w:adjustRightInd w:val="0"/>
        <w:spacing w:before="0" w:beforeAutospacing="0" w:after="0" w:afterAutospacing="0" w:line="360" w:lineRule="auto"/>
        <w:ind w:firstLine="566" w:firstLineChars="236"/>
        <w:jc w:val="both"/>
        <w:rPr>
          <w:color w:val="auto"/>
          <w:kern w:val="2"/>
          <w:highlight w:val="none"/>
        </w:rPr>
      </w:pPr>
      <w:r>
        <w:rPr>
          <w:rFonts w:hint="eastAsia"/>
          <w:color w:val="auto"/>
          <w:kern w:val="2"/>
          <w:highlight w:val="none"/>
        </w:rPr>
        <w:t>有效的法人或者其他组织的营业执照等证明文件的复印件（加盖供应商公章）。</w:t>
      </w:r>
    </w:p>
    <w:p>
      <w:pPr>
        <w:pStyle w:val="117"/>
        <w:widowControl w:val="0"/>
        <w:shd w:val="clear" w:color="auto" w:fill="FFFFFF"/>
        <w:adjustRightInd w:val="0"/>
        <w:spacing w:before="0" w:beforeAutospacing="0" w:after="0" w:afterAutospacing="0" w:line="360" w:lineRule="auto"/>
        <w:ind w:firstLine="480" w:firstLineChars="200"/>
        <w:jc w:val="both"/>
        <w:rPr>
          <w:color w:val="auto"/>
          <w:highlight w:val="none"/>
        </w:rPr>
      </w:pPr>
      <w:r>
        <w:rPr>
          <w:rFonts w:hint="eastAsia"/>
          <w:color w:val="auto"/>
          <w:highlight w:val="none"/>
        </w:rPr>
        <w:t>7.2</w:t>
      </w:r>
      <w:r>
        <w:rPr>
          <w:rFonts w:hint="eastAsia"/>
          <w:color w:val="auto"/>
          <w:highlight w:val="none"/>
          <w:u w:val="single"/>
        </w:rPr>
        <w:t>选择以现场购买</w:t>
      </w:r>
      <w:r>
        <w:rPr>
          <w:rFonts w:hint="eastAsia"/>
          <w:color w:val="auto"/>
          <w:highlight w:val="none"/>
          <w:u w:val="single"/>
          <w:lang w:val="en-US" w:eastAsia="zh-CN"/>
        </w:rPr>
        <w:t>竞争性磋商</w:t>
      </w:r>
      <w:r>
        <w:rPr>
          <w:rFonts w:hint="eastAsia"/>
          <w:color w:val="auto"/>
          <w:highlight w:val="none"/>
          <w:u w:val="single"/>
        </w:rPr>
        <w:t>文件的</w:t>
      </w:r>
      <w:r>
        <w:rPr>
          <w:rFonts w:hint="eastAsia"/>
          <w:color w:val="auto"/>
          <w:highlight w:val="none"/>
        </w:rPr>
        <w:t>，携带“</w:t>
      </w:r>
      <w:r>
        <w:rPr>
          <w:rFonts w:hint="eastAsia"/>
          <w:color w:val="auto"/>
          <w:kern w:val="2"/>
          <w:highlight w:val="none"/>
        </w:rPr>
        <w:t>7.1购买</w:t>
      </w:r>
      <w:r>
        <w:rPr>
          <w:rFonts w:hint="eastAsia"/>
          <w:color w:val="auto"/>
          <w:highlight w:val="none"/>
        </w:rPr>
        <w:t>磋商</w:t>
      </w:r>
      <w:r>
        <w:rPr>
          <w:rFonts w:hint="eastAsia"/>
          <w:color w:val="auto"/>
          <w:kern w:val="2"/>
          <w:highlight w:val="none"/>
        </w:rPr>
        <w:t>文件需提供的资料</w:t>
      </w:r>
      <w:r>
        <w:rPr>
          <w:rFonts w:hint="eastAsia"/>
          <w:color w:val="auto"/>
          <w:highlight w:val="none"/>
        </w:rPr>
        <w:t>”到</w:t>
      </w:r>
      <w:r>
        <w:rPr>
          <w:rFonts w:hint="eastAsia"/>
          <w:color w:val="auto"/>
          <w:kern w:val="2"/>
          <w:highlight w:val="none"/>
        </w:rPr>
        <w:t>华睿诚项目管理有限公司（详细地址：佛山市南海区桂城街道季华东路31号天安中心3座1410室）</w:t>
      </w:r>
      <w:r>
        <w:rPr>
          <w:rFonts w:hint="eastAsia"/>
          <w:color w:val="auto"/>
          <w:highlight w:val="none"/>
        </w:rPr>
        <w:t>购买竞争性磋商文件（电子版及纸质版）。</w:t>
      </w:r>
    </w:p>
    <w:p>
      <w:pPr>
        <w:pStyle w:val="117"/>
        <w:widowControl w:val="0"/>
        <w:shd w:val="clear" w:color="auto" w:fill="FFFFFF"/>
        <w:adjustRightInd w:val="0"/>
        <w:spacing w:before="0" w:beforeAutospacing="0" w:after="0" w:afterAutospacing="0" w:line="360" w:lineRule="auto"/>
        <w:ind w:firstLine="566" w:firstLineChars="236"/>
        <w:jc w:val="both"/>
        <w:rPr>
          <w:rFonts w:hint="eastAsia" w:eastAsia="宋体"/>
          <w:color w:val="auto"/>
          <w:highlight w:val="none"/>
          <w:lang w:eastAsia="zh-CN"/>
        </w:rPr>
      </w:pPr>
      <w:r>
        <w:rPr>
          <w:rFonts w:hint="eastAsia"/>
          <w:color w:val="auto"/>
          <w:highlight w:val="none"/>
        </w:rPr>
        <w:t>7.3</w:t>
      </w:r>
      <w:r>
        <w:rPr>
          <w:rFonts w:hint="eastAsia"/>
          <w:color w:val="auto"/>
          <w:highlight w:val="none"/>
          <w:u w:val="single"/>
        </w:rPr>
        <w:t>选择以邮寄方式购买</w:t>
      </w:r>
      <w:r>
        <w:rPr>
          <w:rFonts w:hint="eastAsia"/>
          <w:color w:val="auto"/>
          <w:highlight w:val="none"/>
          <w:u w:val="single"/>
          <w:lang w:val="en-US" w:eastAsia="zh-CN"/>
        </w:rPr>
        <w:t>竞争性磋商</w:t>
      </w:r>
      <w:r>
        <w:rPr>
          <w:rFonts w:hint="eastAsia"/>
          <w:color w:val="auto"/>
          <w:highlight w:val="none"/>
          <w:u w:val="single"/>
        </w:rPr>
        <w:t>文件的</w:t>
      </w:r>
      <w:r>
        <w:rPr>
          <w:rFonts w:hint="eastAsia"/>
          <w:color w:val="auto"/>
          <w:highlight w:val="none"/>
        </w:rPr>
        <w:t>，将购买竞争性磋商文件需提供的资料作为邮件附件，按以下邮件主题格式发送至购买磋商文件的邮箱进行购买磋商文件，同时应在汇款单上注明项目名称</w:t>
      </w:r>
      <w:r>
        <w:rPr>
          <w:rFonts w:hint="eastAsia"/>
          <w:color w:val="auto"/>
          <w:highlight w:val="none"/>
          <w:lang w:eastAsia="zh-CN"/>
        </w:rPr>
        <w:t>：</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①邮件主题格式：“购买</w:t>
      </w:r>
      <w:r>
        <w:rPr>
          <w:rFonts w:hint="eastAsia"/>
          <w:color w:val="auto"/>
          <w:highlight w:val="none"/>
          <w:lang w:val="en-US" w:eastAsia="zh-CN"/>
        </w:rPr>
        <w:t>采购</w:t>
      </w:r>
      <w:r>
        <w:rPr>
          <w:rFonts w:hint="eastAsia"/>
          <w:color w:val="auto"/>
          <w:highlight w:val="none"/>
        </w:rPr>
        <w:t>文件资料”；</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②购买</w:t>
      </w:r>
      <w:r>
        <w:rPr>
          <w:rFonts w:hint="eastAsia"/>
          <w:color w:val="auto"/>
          <w:highlight w:val="none"/>
          <w:lang w:val="en-US" w:eastAsia="zh-CN"/>
        </w:rPr>
        <w:t>采购</w:t>
      </w:r>
      <w:r>
        <w:rPr>
          <w:rFonts w:hint="eastAsia"/>
          <w:color w:val="auto"/>
          <w:highlight w:val="none"/>
        </w:rPr>
        <w:t>文件的邮箱：huaruichengfs@163.com。</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③须另交人民币60元作为特快专递费用；款到指定账户后，采购代理机构即向供应商发出纸质磋商文件；通过邮寄方式发出的所有资料以邮递部门送达的时间为准，采购人及采购代理机构对邮件送达延误、损坏、丢失、毁灭等情形不负任何责任。</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汇款账号信息如下：</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户 名：华睿诚项目管理有限公司佛山分公司</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开户行：广东南海农村商业银行股份有限公司桂城季华分理处</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账  号：80020000011993972</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④温馨提示：为确保供应商网络购买磋商文件是否成功，请供应商在发出邮件后致电购买文件联系人以确认购买磋商文件情况。</w:t>
      </w:r>
    </w:p>
    <w:p>
      <w:pPr>
        <w:pStyle w:val="117"/>
        <w:widowControl w:val="0"/>
        <w:shd w:val="clear" w:color="auto" w:fill="FFFFFF"/>
        <w:adjustRightInd w:val="0"/>
        <w:spacing w:before="0" w:beforeAutospacing="0" w:after="0" w:afterAutospacing="0" w:line="360" w:lineRule="auto"/>
        <w:ind w:firstLine="566" w:firstLineChars="236"/>
        <w:jc w:val="both"/>
        <w:rPr>
          <w:color w:val="auto"/>
          <w:highlight w:val="none"/>
        </w:rPr>
      </w:pPr>
      <w:r>
        <w:rPr>
          <w:rFonts w:hint="eastAsia"/>
          <w:color w:val="auto"/>
          <w:highlight w:val="none"/>
        </w:rPr>
        <w:t>注：采购代理机构对供应商提交的报名资料进行核对，不代表其投标资格的确认。供应商的投标资格最终根据其响应文件中提交的相关资料作出的审查结论为准。</w:t>
      </w:r>
    </w:p>
    <w:p>
      <w:pPr>
        <w:pStyle w:val="117"/>
        <w:widowControl w:val="0"/>
        <w:shd w:val="clear" w:color="auto" w:fill="FFFFFF"/>
        <w:adjustRightInd w:val="0"/>
        <w:spacing w:before="0" w:beforeAutospacing="0" w:after="0" w:afterAutospacing="0" w:line="360" w:lineRule="auto"/>
        <w:jc w:val="both"/>
        <w:rPr>
          <w:rFonts w:hint="eastAsia"/>
          <w:color w:val="auto"/>
          <w:highlight w:val="none"/>
        </w:rPr>
      </w:pPr>
      <w:r>
        <w:rPr>
          <w:rFonts w:hint="eastAsia"/>
          <w:color w:val="auto"/>
          <w:highlight w:val="none"/>
        </w:rPr>
        <w:t>八、提交磋商响应文件截止时间：</w:t>
      </w:r>
      <w:r>
        <w:rPr>
          <w:rFonts w:hint="eastAsia"/>
          <w:color w:val="auto"/>
          <w:highlight w:val="none"/>
          <w:lang w:eastAsia="zh-CN"/>
        </w:rPr>
        <w:t>2023年</w:t>
      </w:r>
      <w:r>
        <w:rPr>
          <w:rFonts w:hint="eastAsia"/>
          <w:color w:val="auto"/>
          <w:highlight w:val="none"/>
          <w:lang w:val="en-US" w:eastAsia="zh-CN"/>
        </w:rPr>
        <w:t>11</w:t>
      </w:r>
      <w:r>
        <w:rPr>
          <w:rFonts w:hint="eastAsia"/>
          <w:color w:val="auto"/>
          <w:highlight w:val="none"/>
          <w:lang w:eastAsia="zh-CN"/>
        </w:rPr>
        <w:t>月</w:t>
      </w:r>
      <w:r>
        <w:rPr>
          <w:rFonts w:hint="eastAsia"/>
          <w:color w:val="auto"/>
          <w:highlight w:val="none"/>
          <w:lang w:val="en-US" w:eastAsia="zh-CN"/>
        </w:rPr>
        <w:t>20</w:t>
      </w:r>
      <w:r>
        <w:rPr>
          <w:rFonts w:hint="eastAsia"/>
          <w:color w:val="auto"/>
          <w:highlight w:val="none"/>
          <w:lang w:eastAsia="zh-CN"/>
        </w:rPr>
        <w:t>日</w:t>
      </w:r>
      <w:r>
        <w:rPr>
          <w:rFonts w:hint="eastAsia"/>
          <w:color w:val="auto"/>
          <w:highlight w:val="none"/>
          <w:lang w:val="en-US" w:eastAsia="zh-CN"/>
        </w:rPr>
        <w:t>9</w:t>
      </w:r>
      <w:r>
        <w:rPr>
          <w:rFonts w:hint="eastAsia"/>
          <w:color w:val="auto"/>
          <w:highlight w:val="none"/>
          <w:lang w:eastAsia="zh-CN"/>
        </w:rPr>
        <w:t>时</w:t>
      </w:r>
      <w:r>
        <w:rPr>
          <w:rFonts w:hint="eastAsia"/>
          <w:color w:val="auto"/>
          <w:highlight w:val="none"/>
          <w:lang w:val="en-US" w:eastAsia="zh-CN"/>
        </w:rPr>
        <w:t>30</w:t>
      </w:r>
      <w:r>
        <w:rPr>
          <w:rFonts w:hint="eastAsia"/>
          <w:color w:val="auto"/>
          <w:highlight w:val="none"/>
          <w:lang w:eastAsia="zh-CN"/>
        </w:rPr>
        <w:t>分</w:t>
      </w:r>
      <w:r>
        <w:rPr>
          <w:rFonts w:hint="eastAsia"/>
          <w:color w:val="auto"/>
          <w:highlight w:val="none"/>
        </w:rPr>
        <w:t>。</w:t>
      </w:r>
    </w:p>
    <w:p>
      <w:pPr>
        <w:pStyle w:val="117"/>
        <w:widowControl w:val="0"/>
        <w:shd w:val="clear" w:color="auto" w:fill="FFFFFF"/>
        <w:adjustRightInd w:val="0"/>
        <w:spacing w:before="0" w:beforeAutospacing="0" w:after="0" w:afterAutospacing="0" w:line="360" w:lineRule="auto"/>
        <w:jc w:val="both"/>
        <w:rPr>
          <w:rFonts w:hint="eastAsia"/>
          <w:color w:val="auto"/>
          <w:highlight w:val="none"/>
        </w:rPr>
      </w:pPr>
      <w:r>
        <w:rPr>
          <w:rFonts w:hint="eastAsia"/>
          <w:color w:val="auto"/>
          <w:highlight w:val="none"/>
        </w:rPr>
        <w:t>九、提交磋商响应文件地点：</w:t>
      </w:r>
      <w:r>
        <w:rPr>
          <w:rFonts w:hint="eastAsia"/>
          <w:color w:val="auto"/>
          <w:highlight w:val="none"/>
          <w:lang w:eastAsia="zh-CN"/>
        </w:rPr>
        <w:t>佛山市110城市应急指挥中心副楼114室(佛山市禅城区魁奇二路37号)</w:t>
      </w:r>
      <w:r>
        <w:rPr>
          <w:rFonts w:hint="eastAsia"/>
          <w:color w:val="auto"/>
          <w:highlight w:val="none"/>
        </w:rPr>
        <w:t>。</w:t>
      </w:r>
    </w:p>
    <w:p>
      <w:pPr>
        <w:pStyle w:val="117"/>
        <w:widowControl w:val="0"/>
        <w:shd w:val="clear" w:color="auto" w:fill="FFFFFF"/>
        <w:adjustRightInd w:val="0"/>
        <w:spacing w:before="0" w:beforeAutospacing="0" w:after="0" w:afterAutospacing="0" w:line="360" w:lineRule="auto"/>
        <w:jc w:val="both"/>
        <w:rPr>
          <w:rFonts w:hint="eastAsia"/>
          <w:color w:val="auto"/>
          <w:highlight w:val="none"/>
        </w:rPr>
      </w:pPr>
      <w:r>
        <w:rPr>
          <w:rFonts w:hint="eastAsia"/>
          <w:color w:val="auto"/>
          <w:highlight w:val="none"/>
        </w:rPr>
        <w:t>十、磋商时间：</w:t>
      </w:r>
      <w:r>
        <w:rPr>
          <w:rFonts w:hint="eastAsia"/>
          <w:color w:val="auto"/>
          <w:highlight w:val="none"/>
          <w:lang w:eastAsia="zh-CN"/>
        </w:rPr>
        <w:t>2023年</w:t>
      </w:r>
      <w:r>
        <w:rPr>
          <w:rFonts w:hint="eastAsia"/>
          <w:color w:val="auto"/>
          <w:highlight w:val="none"/>
          <w:lang w:val="en-US" w:eastAsia="zh-CN"/>
        </w:rPr>
        <w:t>11</w:t>
      </w:r>
      <w:r>
        <w:rPr>
          <w:rFonts w:hint="eastAsia"/>
          <w:color w:val="auto"/>
          <w:highlight w:val="none"/>
          <w:lang w:eastAsia="zh-CN"/>
        </w:rPr>
        <w:t>月</w:t>
      </w:r>
      <w:r>
        <w:rPr>
          <w:rFonts w:hint="eastAsia"/>
          <w:color w:val="auto"/>
          <w:highlight w:val="none"/>
          <w:lang w:val="en-US" w:eastAsia="zh-CN"/>
        </w:rPr>
        <w:t>20</w:t>
      </w:r>
      <w:r>
        <w:rPr>
          <w:rFonts w:hint="eastAsia"/>
          <w:color w:val="auto"/>
          <w:highlight w:val="none"/>
          <w:lang w:eastAsia="zh-CN"/>
        </w:rPr>
        <w:t>日</w:t>
      </w:r>
      <w:r>
        <w:rPr>
          <w:rFonts w:hint="eastAsia"/>
          <w:color w:val="auto"/>
          <w:highlight w:val="none"/>
          <w:lang w:val="en-US" w:eastAsia="zh-CN"/>
        </w:rPr>
        <w:t>9</w:t>
      </w:r>
      <w:r>
        <w:rPr>
          <w:rFonts w:hint="eastAsia"/>
          <w:color w:val="auto"/>
          <w:highlight w:val="none"/>
          <w:lang w:eastAsia="zh-CN"/>
        </w:rPr>
        <w:t>时</w:t>
      </w:r>
      <w:r>
        <w:rPr>
          <w:rFonts w:hint="eastAsia"/>
          <w:color w:val="auto"/>
          <w:highlight w:val="none"/>
          <w:lang w:val="en-US" w:eastAsia="zh-CN"/>
        </w:rPr>
        <w:t>30</w:t>
      </w:r>
      <w:r>
        <w:rPr>
          <w:rFonts w:hint="eastAsia"/>
          <w:color w:val="auto"/>
          <w:highlight w:val="none"/>
          <w:lang w:eastAsia="zh-CN"/>
        </w:rPr>
        <w:t>分</w:t>
      </w:r>
      <w:r>
        <w:rPr>
          <w:rFonts w:hint="eastAsia"/>
          <w:color w:val="auto"/>
          <w:highlight w:val="none"/>
        </w:rPr>
        <w:t>。</w:t>
      </w:r>
    </w:p>
    <w:p>
      <w:pPr>
        <w:pStyle w:val="117"/>
        <w:widowControl w:val="0"/>
        <w:shd w:val="clear" w:color="auto" w:fill="FFFFFF"/>
        <w:adjustRightInd w:val="0"/>
        <w:spacing w:before="0" w:beforeAutospacing="0" w:after="0" w:afterAutospacing="0" w:line="360" w:lineRule="auto"/>
        <w:jc w:val="both"/>
        <w:rPr>
          <w:rFonts w:hint="eastAsia"/>
          <w:color w:val="auto"/>
          <w:highlight w:val="none"/>
        </w:rPr>
      </w:pPr>
      <w:r>
        <w:rPr>
          <w:rFonts w:hint="eastAsia"/>
          <w:color w:val="auto"/>
          <w:highlight w:val="none"/>
        </w:rPr>
        <w:t>十一、磋商地点：</w:t>
      </w:r>
      <w:r>
        <w:rPr>
          <w:rFonts w:hint="eastAsia"/>
          <w:color w:val="auto"/>
          <w:highlight w:val="none"/>
          <w:lang w:eastAsia="zh-CN"/>
        </w:rPr>
        <w:t>佛山市110城市应急指挥中心副楼114室(佛山市禅城区魁奇二路37号)</w:t>
      </w:r>
      <w:r>
        <w:rPr>
          <w:rFonts w:hint="eastAsia"/>
          <w:color w:val="auto"/>
          <w:highlight w:val="none"/>
        </w:rPr>
        <w:t>。</w:t>
      </w:r>
    </w:p>
    <w:p>
      <w:pPr>
        <w:pStyle w:val="117"/>
        <w:widowControl w:val="0"/>
        <w:shd w:val="clear" w:color="auto" w:fill="FFFFFF"/>
        <w:adjustRightInd w:val="0"/>
        <w:spacing w:before="0" w:beforeAutospacing="0" w:after="0" w:afterAutospacing="0" w:line="360" w:lineRule="auto"/>
        <w:jc w:val="both"/>
        <w:rPr>
          <w:rFonts w:hint="eastAsia"/>
          <w:color w:val="auto"/>
          <w:highlight w:val="none"/>
        </w:rPr>
      </w:pPr>
      <w:r>
        <w:rPr>
          <w:rFonts w:hint="eastAsia"/>
          <w:color w:val="auto"/>
          <w:highlight w:val="none"/>
        </w:rPr>
        <w:t>十二、本公告期限 （5个工作日）自</w:t>
      </w:r>
      <w:r>
        <w:rPr>
          <w:rFonts w:hint="eastAsia"/>
          <w:color w:val="auto"/>
          <w:highlight w:val="none"/>
          <w:lang w:eastAsia="zh-CN"/>
        </w:rPr>
        <w:t>2023年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8</w:t>
      </w:r>
      <w:r>
        <w:rPr>
          <w:rFonts w:hint="eastAsia"/>
          <w:color w:val="auto"/>
          <w:highlight w:val="none"/>
        </w:rPr>
        <w:t>日至 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14</w:t>
      </w:r>
      <w:r>
        <w:rPr>
          <w:rFonts w:hint="eastAsia"/>
          <w:color w:val="auto"/>
          <w:highlight w:val="none"/>
        </w:rPr>
        <w:t>日止。</w:t>
      </w:r>
    </w:p>
    <w:p>
      <w:pPr>
        <w:adjustRightInd w:val="0"/>
        <w:snapToGrid w:val="0"/>
        <w:spacing w:line="360" w:lineRule="auto"/>
        <w:rPr>
          <w:rFonts w:hint="default" w:ascii="宋体" w:hAnsi="宋体" w:cs="宋体"/>
          <w:color w:val="auto"/>
          <w:szCs w:val="24"/>
          <w:highlight w:val="none"/>
          <w:lang w:val="en-US"/>
        </w:rPr>
      </w:pPr>
      <w:r>
        <w:rPr>
          <w:rFonts w:hint="eastAsia" w:ascii="宋体" w:hAnsi="宋体" w:cs="宋体"/>
          <w:color w:val="auto"/>
          <w:szCs w:val="24"/>
          <w:highlight w:val="none"/>
        </w:rPr>
        <w:t>十三、本项目发布信息查询：（在以下媒体中发布公示及公告）：</w:t>
      </w:r>
      <w:r>
        <w:rPr>
          <w:rFonts w:hint="eastAsia" w:ascii="宋体" w:hAnsi="宋体" w:cs="宋体"/>
          <w:color w:val="auto"/>
          <w:szCs w:val="24"/>
          <w:highlight w:val="none"/>
          <w:lang w:val="en-US" w:eastAsia="zh-CN"/>
        </w:rPr>
        <w:t>华睿诚项目管理有限公司网</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十四、联系事项</w:t>
      </w:r>
    </w:p>
    <w:tbl>
      <w:tblPr>
        <w:tblStyle w:val="31"/>
        <w:tblW w:w="9806" w:type="dxa"/>
        <w:tblInd w:w="0" w:type="dxa"/>
        <w:tblLayout w:type="fixed"/>
        <w:tblCellMar>
          <w:top w:w="0" w:type="dxa"/>
          <w:left w:w="108" w:type="dxa"/>
          <w:bottom w:w="0" w:type="dxa"/>
          <w:right w:w="108" w:type="dxa"/>
        </w:tblCellMar>
      </w:tblPr>
      <w:tblGrid>
        <w:gridCol w:w="4903"/>
        <w:gridCol w:w="4903"/>
      </w:tblGrid>
      <w:tr>
        <w:tblPrEx>
          <w:tblCellMar>
            <w:top w:w="0" w:type="dxa"/>
            <w:left w:w="108" w:type="dxa"/>
            <w:bottom w:w="0" w:type="dxa"/>
            <w:right w:w="108" w:type="dxa"/>
          </w:tblCellMar>
        </w:tblPrEx>
        <w:tc>
          <w:tcPr>
            <w:tcW w:w="9806" w:type="dxa"/>
            <w:gridSpan w:val="2"/>
            <w:vAlign w:val="center"/>
          </w:tcPr>
          <w:p>
            <w:pPr>
              <w:pStyle w:val="29"/>
              <w:adjustRightInd w:val="0"/>
              <w:snapToGrid w:val="0"/>
              <w:spacing w:before="0" w:beforeAutospacing="0" w:after="0" w:afterAutospacing="0" w:line="360" w:lineRule="auto"/>
              <w:jc w:val="both"/>
              <w:rPr>
                <w:rFonts w:hint="eastAsia" w:eastAsia="宋体" w:cs="宋体"/>
                <w:color w:val="auto"/>
                <w:kern w:val="1"/>
                <w:highlight w:val="none"/>
                <w:lang w:eastAsia="zh-CN"/>
              </w:rPr>
            </w:pPr>
            <w:r>
              <w:rPr>
                <w:rFonts w:hint="eastAsia" w:cs="宋体"/>
                <w:color w:val="auto"/>
                <w:highlight w:val="none"/>
              </w:rPr>
              <w:t>采购人：</w:t>
            </w:r>
            <w:r>
              <w:rPr>
                <w:rFonts w:hint="eastAsia" w:cs="宋体"/>
                <w:color w:val="auto"/>
                <w:highlight w:val="none"/>
                <w:lang w:eastAsia="zh-CN"/>
              </w:rPr>
              <w:t>佛山市公安局禅城分局</w:t>
            </w:r>
          </w:p>
        </w:tc>
      </w:tr>
      <w:tr>
        <w:tblPrEx>
          <w:tblCellMar>
            <w:top w:w="0" w:type="dxa"/>
            <w:left w:w="108" w:type="dxa"/>
            <w:bottom w:w="0" w:type="dxa"/>
            <w:right w:w="108" w:type="dxa"/>
          </w:tblCellMar>
        </w:tblPrEx>
        <w:tc>
          <w:tcPr>
            <w:tcW w:w="4903" w:type="dxa"/>
            <w:vAlign w:val="center"/>
          </w:tcPr>
          <w:p>
            <w:pPr>
              <w:pStyle w:val="29"/>
              <w:adjustRightInd w:val="0"/>
              <w:snapToGrid w:val="0"/>
              <w:spacing w:before="0" w:beforeAutospacing="0" w:after="0" w:afterAutospacing="0" w:line="360" w:lineRule="auto"/>
              <w:jc w:val="both"/>
              <w:rPr>
                <w:rFonts w:hint="default" w:eastAsia="宋体" w:cs="宋体"/>
                <w:color w:val="auto"/>
                <w:kern w:val="1"/>
                <w:highlight w:val="none"/>
                <w:lang w:val="en-US" w:eastAsia="zh-CN"/>
              </w:rPr>
            </w:pPr>
            <w:r>
              <w:rPr>
                <w:rFonts w:hint="eastAsia" w:cs="宋体"/>
                <w:color w:val="auto"/>
                <w:highlight w:val="none"/>
              </w:rPr>
              <w:t>联系人：</w:t>
            </w:r>
            <w:r>
              <w:rPr>
                <w:rFonts w:hint="eastAsia" w:cs="宋体"/>
                <w:color w:val="auto"/>
                <w:highlight w:val="none"/>
                <w:lang w:val="en-US" w:eastAsia="zh-CN"/>
              </w:rPr>
              <w:t>高先生</w:t>
            </w:r>
          </w:p>
        </w:tc>
        <w:tc>
          <w:tcPr>
            <w:tcW w:w="4903" w:type="dxa"/>
            <w:vAlign w:val="center"/>
          </w:tcPr>
          <w:p>
            <w:pPr>
              <w:pStyle w:val="104"/>
              <w:spacing w:line="360" w:lineRule="auto"/>
              <w:ind w:left="720" w:firstLine="0"/>
              <w:rPr>
                <w:rFonts w:hint="default" w:ascii="宋体" w:hAnsi="宋体" w:eastAsia="宋体" w:cs="宋体"/>
                <w:color w:val="auto"/>
                <w:kern w:val="1"/>
                <w:szCs w:val="24"/>
                <w:highlight w:val="none"/>
                <w:lang w:val="en-US" w:eastAsia="zh-CN"/>
              </w:rPr>
            </w:pPr>
            <w:r>
              <w:rPr>
                <w:rFonts w:hint="eastAsia" w:ascii="宋体" w:hAnsi="宋体" w:cs="宋体"/>
                <w:color w:val="auto"/>
                <w:szCs w:val="24"/>
                <w:highlight w:val="none"/>
              </w:rPr>
              <w:t>联系电话：</w:t>
            </w:r>
            <w:r>
              <w:rPr>
                <w:rFonts w:hint="eastAsia" w:ascii="宋体" w:hAnsi="宋体" w:eastAsia="宋体" w:cs="宋体"/>
                <w:i w:val="0"/>
                <w:iCs w:val="0"/>
                <w:caps w:val="0"/>
                <w:color w:val="auto"/>
                <w:spacing w:val="0"/>
                <w:sz w:val="24"/>
                <w:szCs w:val="24"/>
                <w:highlight w:val="none"/>
                <w:shd w:val="clear" w:color="auto" w:fill="FFFFFF"/>
                <w:lang w:eastAsia="zh-CN"/>
              </w:rPr>
              <w:t>0757-82729810</w:t>
            </w:r>
          </w:p>
        </w:tc>
      </w:tr>
      <w:tr>
        <w:tblPrEx>
          <w:tblCellMar>
            <w:top w:w="0" w:type="dxa"/>
            <w:left w:w="108" w:type="dxa"/>
            <w:bottom w:w="0" w:type="dxa"/>
            <w:right w:w="108" w:type="dxa"/>
          </w:tblCellMar>
        </w:tblPrEx>
        <w:tc>
          <w:tcPr>
            <w:tcW w:w="9806" w:type="dxa"/>
            <w:gridSpan w:val="2"/>
            <w:vAlign w:val="center"/>
          </w:tcPr>
          <w:p>
            <w:pPr>
              <w:pStyle w:val="29"/>
              <w:adjustRightInd w:val="0"/>
              <w:snapToGrid w:val="0"/>
              <w:spacing w:before="0" w:beforeAutospacing="0" w:after="0" w:afterAutospacing="0" w:line="360" w:lineRule="auto"/>
              <w:jc w:val="both"/>
              <w:rPr>
                <w:rFonts w:cs="宋体"/>
                <w:color w:val="auto"/>
                <w:kern w:val="1"/>
                <w:highlight w:val="none"/>
              </w:rPr>
            </w:pPr>
            <w:r>
              <w:rPr>
                <w:rFonts w:hint="eastAsia" w:cs="宋体"/>
                <w:color w:val="auto"/>
                <w:highlight w:val="none"/>
              </w:rPr>
              <w:t>采购代理机构：华睿诚项目管理有限公司</w:t>
            </w:r>
          </w:p>
        </w:tc>
      </w:tr>
      <w:tr>
        <w:tblPrEx>
          <w:tblCellMar>
            <w:top w:w="0" w:type="dxa"/>
            <w:left w:w="108" w:type="dxa"/>
            <w:bottom w:w="0" w:type="dxa"/>
            <w:right w:w="108" w:type="dxa"/>
          </w:tblCellMar>
        </w:tblPrEx>
        <w:tc>
          <w:tcPr>
            <w:tcW w:w="9806" w:type="dxa"/>
            <w:gridSpan w:val="2"/>
            <w:vAlign w:val="center"/>
          </w:tcPr>
          <w:p>
            <w:pPr>
              <w:pStyle w:val="29"/>
              <w:adjustRightInd w:val="0"/>
              <w:snapToGrid w:val="0"/>
              <w:spacing w:before="0" w:beforeAutospacing="0" w:after="0" w:afterAutospacing="0" w:line="360" w:lineRule="auto"/>
              <w:jc w:val="both"/>
              <w:rPr>
                <w:rFonts w:cs="宋体"/>
                <w:color w:val="auto"/>
                <w:kern w:val="1"/>
                <w:highlight w:val="none"/>
              </w:rPr>
            </w:pPr>
            <w:r>
              <w:rPr>
                <w:rFonts w:hint="eastAsia" w:cs="宋体"/>
                <w:color w:val="auto"/>
                <w:highlight w:val="none"/>
              </w:rPr>
              <w:t>地址：佛山市南海区桂城街道季华东路31号天安中心3座1410室</w:t>
            </w:r>
          </w:p>
        </w:tc>
      </w:tr>
      <w:tr>
        <w:tblPrEx>
          <w:tblCellMar>
            <w:top w:w="0" w:type="dxa"/>
            <w:left w:w="108" w:type="dxa"/>
            <w:bottom w:w="0" w:type="dxa"/>
            <w:right w:w="108" w:type="dxa"/>
          </w:tblCellMar>
        </w:tblPrEx>
        <w:tc>
          <w:tcPr>
            <w:tcW w:w="4903" w:type="dxa"/>
            <w:vAlign w:val="center"/>
          </w:tcPr>
          <w:p>
            <w:pPr>
              <w:pStyle w:val="29"/>
              <w:adjustRightInd w:val="0"/>
              <w:snapToGrid w:val="0"/>
              <w:spacing w:before="0" w:beforeAutospacing="0" w:after="0" w:afterAutospacing="0" w:line="360" w:lineRule="auto"/>
              <w:jc w:val="both"/>
              <w:rPr>
                <w:rFonts w:hint="default" w:cs="宋体"/>
                <w:color w:val="auto"/>
                <w:kern w:val="1"/>
                <w:highlight w:val="none"/>
                <w:lang w:val="en-US"/>
              </w:rPr>
            </w:pPr>
            <w:r>
              <w:rPr>
                <w:rFonts w:hint="eastAsia" w:cs="宋体"/>
                <w:color w:val="auto"/>
                <w:highlight w:val="none"/>
              </w:rPr>
              <w:t>联系人：</w:t>
            </w:r>
            <w:r>
              <w:rPr>
                <w:rFonts w:hint="eastAsia" w:cs="宋体"/>
                <w:color w:val="auto"/>
                <w:highlight w:val="none"/>
                <w:lang w:val="en-US" w:eastAsia="zh-CN"/>
              </w:rPr>
              <w:t>萧先生</w:t>
            </w:r>
          </w:p>
        </w:tc>
        <w:tc>
          <w:tcPr>
            <w:tcW w:w="4903" w:type="dxa"/>
            <w:vAlign w:val="center"/>
          </w:tcPr>
          <w:p>
            <w:pPr>
              <w:pStyle w:val="29"/>
              <w:adjustRightInd w:val="0"/>
              <w:snapToGrid w:val="0"/>
              <w:spacing w:before="0" w:beforeAutospacing="0" w:after="0" w:afterAutospacing="0" w:line="360" w:lineRule="auto"/>
              <w:jc w:val="both"/>
              <w:rPr>
                <w:rFonts w:cs="宋体"/>
                <w:color w:val="auto"/>
                <w:kern w:val="1"/>
                <w:highlight w:val="none"/>
              </w:rPr>
            </w:pPr>
            <w:r>
              <w:rPr>
                <w:rFonts w:hint="eastAsia" w:cs="宋体"/>
                <w:color w:val="auto"/>
                <w:highlight w:val="none"/>
              </w:rPr>
              <w:t>联系电话：</w:t>
            </w:r>
            <w:r>
              <w:rPr>
                <w:rFonts w:hint="eastAsia" w:cs="宋体"/>
                <w:color w:val="auto"/>
                <w:kern w:val="1"/>
                <w:highlight w:val="none"/>
              </w:rPr>
              <w:t>0757-81019488</w:t>
            </w:r>
          </w:p>
        </w:tc>
      </w:tr>
      <w:tr>
        <w:tblPrEx>
          <w:tblCellMar>
            <w:top w:w="0" w:type="dxa"/>
            <w:left w:w="108" w:type="dxa"/>
            <w:bottom w:w="0" w:type="dxa"/>
            <w:right w:w="108" w:type="dxa"/>
          </w:tblCellMar>
        </w:tblPrEx>
        <w:tc>
          <w:tcPr>
            <w:tcW w:w="4903" w:type="dxa"/>
            <w:vAlign w:val="center"/>
          </w:tcPr>
          <w:p>
            <w:pPr>
              <w:pStyle w:val="29"/>
              <w:adjustRightInd w:val="0"/>
              <w:snapToGrid w:val="0"/>
              <w:spacing w:before="0" w:beforeAutospacing="0" w:after="0" w:afterAutospacing="0" w:line="360" w:lineRule="auto"/>
              <w:jc w:val="both"/>
              <w:rPr>
                <w:rFonts w:cs="宋体"/>
                <w:color w:val="auto"/>
                <w:highlight w:val="none"/>
              </w:rPr>
            </w:pPr>
            <w:r>
              <w:rPr>
                <w:rFonts w:hint="eastAsia" w:cs="宋体"/>
                <w:color w:val="auto"/>
                <w:highlight w:val="none"/>
              </w:rPr>
              <w:t>邮编：528200</w:t>
            </w:r>
          </w:p>
        </w:tc>
        <w:tc>
          <w:tcPr>
            <w:tcW w:w="4903" w:type="dxa"/>
            <w:vAlign w:val="center"/>
          </w:tcPr>
          <w:p>
            <w:pPr>
              <w:pStyle w:val="29"/>
              <w:adjustRightInd w:val="0"/>
              <w:snapToGrid w:val="0"/>
              <w:spacing w:before="0" w:beforeAutospacing="0" w:after="0" w:afterAutospacing="0" w:line="360" w:lineRule="auto"/>
              <w:jc w:val="both"/>
              <w:rPr>
                <w:rFonts w:cs="宋体"/>
                <w:color w:val="auto"/>
                <w:highlight w:val="none"/>
              </w:rPr>
            </w:pPr>
            <w:r>
              <w:rPr>
                <w:rFonts w:hint="eastAsia" w:cs="宋体"/>
                <w:color w:val="auto"/>
                <w:highlight w:val="none"/>
              </w:rPr>
              <w:t>邮箱：</w:t>
            </w:r>
            <w:r>
              <w:rPr>
                <w:color w:val="auto"/>
                <w:highlight w:val="none"/>
              </w:rPr>
              <w:fldChar w:fldCharType="begin"/>
            </w:r>
            <w:r>
              <w:rPr>
                <w:color w:val="auto"/>
                <w:highlight w:val="none"/>
              </w:rPr>
              <w:instrText xml:space="preserve"> HYPERLINK "mailto:huaruichengfs@163.com" </w:instrText>
            </w:r>
            <w:r>
              <w:rPr>
                <w:color w:val="auto"/>
                <w:highlight w:val="none"/>
              </w:rPr>
              <w:fldChar w:fldCharType="separate"/>
            </w:r>
            <w:r>
              <w:rPr>
                <w:rFonts w:hint="eastAsia" w:cs="宋体"/>
                <w:color w:val="auto"/>
                <w:highlight w:val="none"/>
              </w:rPr>
              <w:t>huaruichengfs@163.com</w:t>
            </w:r>
            <w:r>
              <w:rPr>
                <w:rFonts w:hint="eastAsia" w:cs="宋体"/>
                <w:color w:val="auto"/>
                <w:highlight w:val="none"/>
              </w:rPr>
              <w:fldChar w:fldCharType="end"/>
            </w:r>
          </w:p>
        </w:tc>
      </w:tr>
    </w:tbl>
    <w:p>
      <w:pPr>
        <w:pStyle w:val="3"/>
        <w:spacing w:line="360" w:lineRule="auto"/>
        <w:jc w:val="center"/>
        <w:rPr>
          <w:rFonts w:ascii="宋体" w:hAnsi="宋体" w:cs="宋体"/>
          <w:color w:val="auto"/>
          <w:sz w:val="24"/>
          <w:szCs w:val="24"/>
          <w:highlight w:val="none"/>
        </w:rPr>
      </w:pPr>
      <w:bookmarkStart w:id="5" w:name="_Toc5569"/>
      <w:bookmarkStart w:id="6" w:name="_Toc13738"/>
      <w:r>
        <w:rPr>
          <w:rFonts w:hint="eastAsia" w:ascii="宋体" w:hAnsi="宋体" w:cs="宋体"/>
          <w:color w:val="auto"/>
          <w:kern w:val="2"/>
          <w:sz w:val="28"/>
          <w:szCs w:val="28"/>
          <w:highlight w:val="none"/>
        </w:rPr>
        <w:br w:type="page"/>
      </w:r>
      <w:r>
        <w:rPr>
          <w:rFonts w:hint="eastAsia" w:ascii="宋体" w:hAnsi="宋体" w:cs="宋体"/>
          <w:color w:val="auto"/>
          <w:kern w:val="2"/>
          <w:sz w:val="28"/>
          <w:szCs w:val="28"/>
          <w:highlight w:val="none"/>
        </w:rPr>
        <w:t>第二部分  采购项目内容</w:t>
      </w:r>
      <w:bookmarkEnd w:id="5"/>
      <w:bookmarkEnd w:id="6"/>
    </w:p>
    <w:p>
      <w:pPr>
        <w:pStyle w:val="6"/>
        <w:spacing w:line="360" w:lineRule="auto"/>
        <w:jc w:val="center"/>
        <w:rPr>
          <w:rFonts w:ascii="宋体" w:hAnsi="宋体" w:cs="宋体"/>
          <w:color w:val="auto"/>
          <w:sz w:val="24"/>
          <w:szCs w:val="24"/>
          <w:highlight w:val="none"/>
        </w:rPr>
      </w:pPr>
      <w:bookmarkStart w:id="7" w:name="_Toc7161"/>
      <w:bookmarkStart w:id="8" w:name="_Toc398852257"/>
      <w:bookmarkStart w:id="9" w:name="_Toc395019917"/>
      <w:bookmarkStart w:id="10" w:name="_Toc395019916"/>
      <w:r>
        <w:rPr>
          <w:rFonts w:hint="eastAsia" w:ascii="宋体" w:hAnsi="宋体" w:cs="宋体"/>
          <w:color w:val="auto"/>
          <w:sz w:val="24"/>
          <w:szCs w:val="24"/>
          <w:highlight w:val="none"/>
        </w:rPr>
        <w:t>（一）、供应商资格要求</w:t>
      </w:r>
      <w:bookmarkEnd w:id="7"/>
    </w:p>
    <w:p>
      <w:pPr>
        <w:pStyle w:val="11"/>
        <w:ind w:firstLine="482"/>
        <w:rPr>
          <w:rStyle w:val="34"/>
          <w:rFonts w:hint="eastAsia" w:ascii="宋体" w:hAnsi="宋体" w:eastAsia="宋体" w:cs="宋体"/>
          <w:b w:val="0"/>
          <w:bCs w:val="0"/>
          <w:color w:val="auto"/>
          <w:spacing w:val="0"/>
          <w:szCs w:val="24"/>
          <w:highlight w:val="none"/>
          <w:lang w:val="en-US" w:eastAsia="zh-CN"/>
        </w:rPr>
      </w:pPr>
      <w:r>
        <w:rPr>
          <w:rFonts w:hint="eastAsia" w:ascii="宋体" w:hAnsi="宋体" w:cs="宋体"/>
          <w:color w:val="auto"/>
          <w:szCs w:val="24"/>
          <w:highlight w:val="none"/>
          <w:lang w:val="zh-CN"/>
        </w:rPr>
        <w:t>1．</w:t>
      </w:r>
      <w:r>
        <w:rPr>
          <w:rStyle w:val="34"/>
          <w:rFonts w:hint="eastAsia" w:ascii="宋体" w:hAnsi="宋体" w:eastAsia="宋体" w:cs="宋体"/>
          <w:b w:val="0"/>
          <w:bCs w:val="0"/>
          <w:color w:val="auto"/>
          <w:spacing w:val="0"/>
          <w:szCs w:val="24"/>
          <w:highlight w:val="none"/>
          <w:lang w:val="en-US" w:eastAsia="zh-CN"/>
        </w:rPr>
        <w:t>具备《中华人民共和国政府采购法》第二十二条规定的条件</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（1）具有独立承担民事责任的能力：在中华人民共和国境内注册的法人或其他组织或自然人，投标（响应）时提交有效的营业执照（或事业法人登记证或身份证等相关证明）副本复印件</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有依法缴纳税收和社会保障资金的良好记录：提供投标截止日前6个月内任意1个月依法缴纳税收和社会保障资金的相关材料或提供《政府采购供应商资格信用承诺函》。如依法免税或不需要缴纳社会保障资金的，提供相应证明材料</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（3）具有良好的商业信誉和健全的财务会计制度：（提供下列材料复印件之一即可）</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1）经审计的</w:t>
      </w:r>
      <w:r>
        <w:rPr>
          <w:rStyle w:val="34"/>
          <w:rFonts w:hint="eastAsia" w:ascii="宋体" w:hAnsi="宋体" w:cs="宋体"/>
          <w:b w:val="0"/>
          <w:bCs w:val="0"/>
          <w:color w:val="auto"/>
          <w:spacing w:val="0"/>
          <w:szCs w:val="24"/>
          <w:highlight w:val="none"/>
          <w:lang w:val="en-US" w:eastAsia="zh-CN"/>
        </w:rPr>
        <w:t>2022年度或2023年</w:t>
      </w:r>
      <w:r>
        <w:rPr>
          <w:rStyle w:val="34"/>
          <w:rFonts w:hint="eastAsia" w:ascii="宋体" w:hAnsi="宋体" w:eastAsia="宋体" w:cs="宋体"/>
          <w:b w:val="0"/>
          <w:bCs w:val="0"/>
          <w:color w:val="auto"/>
          <w:spacing w:val="0"/>
          <w:szCs w:val="24"/>
          <w:highlight w:val="none"/>
          <w:lang w:val="en-US" w:eastAsia="zh-CN"/>
        </w:rPr>
        <w:t>任意一季度的财务报告（要求：提供由第三方会计师事务所或审计机构出具的审计报告，能清晰显示第三方会计师事务所或审计机构的印章，并能反映审计结论。）</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2）基本开户银行出具的资信证明和开户证明材料（要求：①资信证明内容应能够清晰准确反映供应商最近6个月内任意一个月（从本项目采购公告发布之日起，往前倒推计算）的商业信誉情况和满足</w:t>
      </w:r>
      <w:r>
        <w:rPr>
          <w:rStyle w:val="34"/>
          <w:rFonts w:hint="eastAsia" w:ascii="宋体" w:hAnsi="宋体" w:cs="宋体"/>
          <w:b w:val="0"/>
          <w:bCs w:val="0"/>
          <w:color w:val="auto"/>
          <w:spacing w:val="0"/>
          <w:szCs w:val="24"/>
          <w:highlight w:val="none"/>
          <w:lang w:val="en-US" w:eastAsia="zh-CN"/>
        </w:rPr>
        <w:t>竞争性磋商</w:t>
      </w:r>
      <w:r>
        <w:rPr>
          <w:rStyle w:val="34"/>
          <w:rFonts w:hint="eastAsia" w:ascii="宋体" w:hAnsi="宋体" w:eastAsia="宋体" w:cs="宋体"/>
          <w:b w:val="0"/>
          <w:bCs w:val="0"/>
          <w:color w:val="auto"/>
          <w:spacing w:val="0"/>
          <w:szCs w:val="24"/>
          <w:highlight w:val="none"/>
          <w:lang w:val="en-US" w:eastAsia="zh-CN"/>
        </w:rPr>
        <w:t>文件有关要求。如成立时间不足</w:t>
      </w:r>
      <w:r>
        <w:rPr>
          <w:rStyle w:val="34"/>
          <w:rFonts w:hint="eastAsia" w:ascii="宋体" w:hAnsi="宋体" w:cs="宋体"/>
          <w:b w:val="0"/>
          <w:bCs w:val="0"/>
          <w:color w:val="auto"/>
          <w:spacing w:val="0"/>
          <w:szCs w:val="24"/>
          <w:highlight w:val="none"/>
          <w:lang w:val="en-US" w:eastAsia="zh-CN"/>
        </w:rPr>
        <w:t>1</w:t>
      </w:r>
      <w:r>
        <w:rPr>
          <w:rStyle w:val="34"/>
          <w:rFonts w:hint="eastAsia" w:ascii="宋体" w:hAnsi="宋体" w:eastAsia="宋体" w:cs="宋体"/>
          <w:b w:val="0"/>
          <w:bCs w:val="0"/>
          <w:color w:val="auto"/>
          <w:spacing w:val="0"/>
          <w:szCs w:val="24"/>
          <w:highlight w:val="none"/>
          <w:lang w:val="en-US" w:eastAsia="zh-CN"/>
        </w:rPr>
        <w:t>个月的，按其开立基本存款账户开户时间提供。②资信证明的落款单位名称必须与开户（基本户）的开户银行名称一致。③资信证明书格式有抬头的，可以写本项目的采购人或代理机构单位全称。④开户（基本户）许可证已取消的，应提供能体现基本开户银行的“基本存款账户信息”的相关证明。）</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3）财政部门认可的政府采购专业担保机构出具的投标担保函</w:t>
      </w:r>
      <w:r>
        <w:rPr>
          <w:rStyle w:val="34"/>
          <w:rFonts w:hint="eastAsia" w:ascii="宋体" w:hAnsi="宋体" w:cs="宋体"/>
          <w:b w:val="0"/>
          <w:bCs w:val="0"/>
          <w:color w:val="auto"/>
          <w:spacing w:val="0"/>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4）提供《政府采购供应商资格信用承诺函》</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（4）履行合同所必需的设备和专业技术能力：按投标（响应）文件格式填报设备及专业技术能力情况</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5）参加采购活动前3年内，在经营活动中没有重大违法记录：参照投标（报价）函相关承诺格式内容或提供《政府采购供应商资格信用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（6）法律、行政法规规定的其他条件。</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2.供应商须在中国大陆境内合法注册，能独立承担民事责任</w:t>
      </w:r>
      <w:r>
        <w:rPr>
          <w:rStyle w:val="34"/>
          <w:rFonts w:hint="eastAsia" w:ascii="宋体" w:hAnsi="宋体" w:cs="宋体"/>
          <w:b w:val="0"/>
          <w:bCs w:val="0"/>
          <w:color w:val="auto"/>
          <w:spacing w:val="0"/>
          <w:szCs w:val="24"/>
          <w:highlight w:val="none"/>
          <w:lang w:val="en-US" w:eastAsia="zh-CN"/>
        </w:rPr>
        <w:t>，</w:t>
      </w:r>
      <w:r>
        <w:rPr>
          <w:rStyle w:val="34"/>
          <w:rFonts w:hint="eastAsia" w:ascii="宋体" w:hAnsi="宋体" w:eastAsia="宋体" w:cs="宋体"/>
          <w:b w:val="0"/>
          <w:bCs w:val="0"/>
          <w:color w:val="auto"/>
          <w:spacing w:val="0"/>
          <w:szCs w:val="24"/>
          <w:highlight w:val="none"/>
          <w:lang w:val="en-US" w:eastAsia="zh-CN"/>
        </w:rPr>
        <w:t>供应商若为分公司，须同时出具总公司的营业执照以及总公司的投标授权书</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3.</w:t>
      </w:r>
      <w:r>
        <w:rPr>
          <w:rStyle w:val="34"/>
          <w:rFonts w:hint="eastAsia" w:ascii="宋体" w:hAnsi="宋体" w:eastAsia="宋体" w:cs="宋体"/>
          <w:b w:val="0"/>
          <w:bCs w:val="0"/>
          <w:color w:val="auto"/>
          <w:spacing w:val="0"/>
          <w:szCs w:val="24"/>
          <w:highlight w:val="none"/>
          <w:lang w:val="en-US" w:eastAsia="zh-CN"/>
        </w:rPr>
        <w:t>供应商未被列入“信用中国”网站(www.creditchina.gov.cn)“记录失信被执行人或税收违法黑名单（即原“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Style w:val="34"/>
          <w:rFonts w:hint="eastAsia" w:ascii="宋体" w:hAnsi="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4</w:t>
      </w:r>
      <w:r>
        <w:rPr>
          <w:rStyle w:val="34"/>
          <w:rFonts w:hint="eastAsia" w:ascii="宋体" w:hAnsi="宋体" w:eastAsia="宋体" w:cs="宋体"/>
          <w:b w:val="0"/>
          <w:bCs w:val="0"/>
          <w:color w:val="auto"/>
          <w:spacing w:val="0"/>
          <w:szCs w:val="24"/>
          <w:highlight w:val="none"/>
          <w:lang w:val="en-US" w:eastAsia="zh-CN"/>
        </w:rPr>
        <w:t>.单位负责人为同一人或者存在直接控股、管理关系的不同投标人，不得同时参加本采购项目（</w:t>
      </w:r>
      <w:r>
        <w:rPr>
          <w:rStyle w:val="34"/>
          <w:rFonts w:hint="eastAsia" w:ascii="宋体" w:hAnsi="宋体" w:cs="宋体"/>
          <w:b w:val="0"/>
          <w:bCs w:val="0"/>
          <w:color w:val="auto"/>
          <w:spacing w:val="0"/>
          <w:szCs w:val="24"/>
          <w:highlight w:val="none"/>
          <w:lang w:val="en-US" w:eastAsia="zh-CN"/>
        </w:rPr>
        <w:t>包组</w:t>
      </w:r>
      <w:r>
        <w:rPr>
          <w:rStyle w:val="34"/>
          <w:rFonts w:hint="eastAsia" w:ascii="宋体" w:hAnsi="宋体" w:eastAsia="宋体" w:cs="宋体"/>
          <w:b w:val="0"/>
          <w:bCs w:val="0"/>
          <w:color w:val="auto"/>
          <w:spacing w:val="0"/>
          <w:szCs w:val="24"/>
          <w:highlight w:val="none"/>
          <w:lang w:val="en-US" w:eastAsia="zh-CN"/>
        </w:rPr>
        <w:t>）投标（响应）。为本项目提供整体设计、 规范编制或者项目管理、监理、检测等服务的投标人，不得再参与本项目投标（响应）</w:t>
      </w:r>
      <w:r>
        <w:rPr>
          <w:rStyle w:val="34"/>
          <w:rFonts w:hint="eastAsia" w:ascii="宋体" w:hAnsi="宋体" w:cs="宋体"/>
          <w:b w:val="0"/>
          <w:bCs w:val="0"/>
          <w:color w:val="auto"/>
          <w:spacing w:val="0"/>
          <w:szCs w:val="24"/>
          <w:highlight w:val="none"/>
          <w:lang w:val="en-US" w:eastAsia="zh-CN"/>
        </w:rPr>
        <w:t>。提供承诺函</w:t>
      </w:r>
      <w:r>
        <w:rPr>
          <w:rStyle w:val="34"/>
          <w:rFonts w:hint="eastAsia" w:ascii="宋体" w:hAnsi="宋体" w:eastAsia="宋体" w:cs="宋体"/>
          <w:b w:val="0"/>
          <w:bCs w:val="0"/>
          <w:color w:val="auto"/>
          <w:spacing w:val="0"/>
          <w:szCs w:val="24"/>
          <w:highlight w:val="none"/>
          <w:lang w:val="en-US" w:eastAsia="zh-CN"/>
        </w:rPr>
        <w:t>。</w:t>
      </w:r>
    </w:p>
    <w:p>
      <w:pPr>
        <w:pStyle w:val="11"/>
        <w:ind w:firstLine="482"/>
        <w:rPr>
          <w:rStyle w:val="34"/>
          <w:rFonts w:hint="eastAsia" w:ascii="宋体" w:hAnsi="宋体" w:eastAsia="宋体" w:cs="宋体"/>
          <w:b w:val="0"/>
          <w:bCs w:val="0"/>
          <w:color w:val="auto"/>
          <w:szCs w:val="24"/>
          <w:highlight w:val="none"/>
          <w:lang w:val="en-US" w:eastAsia="zh-CN"/>
        </w:rPr>
      </w:pPr>
      <w:r>
        <w:rPr>
          <w:rStyle w:val="34"/>
          <w:rFonts w:hint="eastAsia" w:ascii="宋体" w:hAnsi="宋体" w:eastAsia="宋体" w:cs="宋体"/>
          <w:b w:val="0"/>
          <w:bCs w:val="0"/>
          <w:color w:val="auto"/>
          <w:szCs w:val="24"/>
          <w:highlight w:val="none"/>
        </w:rPr>
        <w:t>5</w:t>
      </w:r>
      <w:r>
        <w:rPr>
          <w:rStyle w:val="34"/>
          <w:rFonts w:hint="eastAsia" w:ascii="宋体" w:hAnsi="宋体" w:eastAsia="宋体" w:cs="宋体"/>
          <w:b w:val="0"/>
          <w:bCs w:val="0"/>
          <w:color w:val="auto"/>
          <w:szCs w:val="24"/>
          <w:highlight w:val="none"/>
          <w:lang w:val="en-US" w:eastAsia="zh-CN"/>
        </w:rPr>
        <w:t>.供应商必须具有</w:t>
      </w:r>
      <w:r>
        <w:rPr>
          <w:rStyle w:val="34"/>
          <w:rFonts w:hint="eastAsia" w:ascii="宋体" w:hAnsi="宋体" w:cs="宋体"/>
          <w:b w:val="0"/>
          <w:bCs w:val="0"/>
          <w:color w:val="auto"/>
          <w:szCs w:val="24"/>
          <w:highlight w:val="none"/>
          <w:lang w:val="en-US" w:eastAsia="zh-CN"/>
        </w:rPr>
        <w:t>国家金融监督管理总局（原中国银行保险监督管理委员会）</w:t>
      </w:r>
      <w:r>
        <w:rPr>
          <w:rStyle w:val="34"/>
          <w:rFonts w:hint="eastAsia" w:ascii="宋体" w:hAnsi="宋体" w:eastAsia="宋体" w:cs="宋体"/>
          <w:b w:val="0"/>
          <w:bCs w:val="0"/>
          <w:color w:val="auto"/>
          <w:szCs w:val="24"/>
          <w:highlight w:val="none"/>
          <w:lang w:val="en-US" w:eastAsia="zh-CN"/>
        </w:rPr>
        <w:t>颁发的《经营保险业务许可证》</w:t>
      </w:r>
      <w:r>
        <w:rPr>
          <w:rFonts w:hint="eastAsia"/>
          <w:color w:val="auto"/>
          <w:highlight w:val="none"/>
        </w:rPr>
        <w:t>（分支机构投标的，若有总公司有效授权，总公司取得的相关资质证书对分支机构有效，一个总公司只能有一个分支机构参与本项目投标，如同一总公司的多个分支机构参与本项目投标，则按报名的先后顺序，取最先报名者为有效</w:t>
      </w:r>
      <w:r>
        <w:rPr>
          <w:rFonts w:hint="eastAsia"/>
          <w:color w:val="auto"/>
          <w:highlight w:val="none"/>
          <w:lang w:eastAsia="zh-CN"/>
        </w:rPr>
        <w:t>供应商</w:t>
      </w:r>
      <w:r>
        <w:rPr>
          <w:rFonts w:hint="eastAsia"/>
          <w:color w:val="auto"/>
          <w:highlight w:val="none"/>
        </w:rPr>
        <w:t>）</w:t>
      </w:r>
      <w:r>
        <w:rPr>
          <w:rStyle w:val="34"/>
          <w:rFonts w:hint="eastAsia" w:ascii="宋体" w:hAnsi="宋体" w:eastAsia="宋体" w:cs="宋体"/>
          <w:b w:val="0"/>
          <w:bCs w:val="0"/>
          <w:color w:val="auto"/>
          <w:szCs w:val="24"/>
          <w:highlight w:val="none"/>
          <w:lang w:val="en-US" w:eastAsia="zh-CN"/>
        </w:rPr>
        <w:t>。</w:t>
      </w:r>
    </w:p>
    <w:p>
      <w:pPr>
        <w:pStyle w:val="11"/>
        <w:ind w:firstLine="482"/>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cs="宋体"/>
          <w:b w:val="0"/>
          <w:bCs w:val="0"/>
          <w:color w:val="auto"/>
          <w:spacing w:val="0"/>
          <w:szCs w:val="24"/>
          <w:highlight w:val="none"/>
          <w:lang w:val="en-US" w:eastAsia="zh-CN"/>
        </w:rPr>
        <w:t>6</w:t>
      </w:r>
      <w:r>
        <w:rPr>
          <w:rStyle w:val="34"/>
          <w:rFonts w:hint="eastAsia" w:ascii="宋体" w:hAnsi="宋体" w:eastAsia="宋体" w:cs="宋体"/>
          <w:b w:val="0"/>
          <w:bCs w:val="0"/>
          <w:color w:val="auto"/>
          <w:spacing w:val="0"/>
          <w:szCs w:val="24"/>
          <w:highlight w:val="none"/>
          <w:lang w:val="en-US" w:eastAsia="zh-CN"/>
        </w:rPr>
        <w:t>.本项目不接受磋商联合体。</w:t>
      </w:r>
    </w:p>
    <w:p>
      <w:pPr>
        <w:spacing w:line="360" w:lineRule="auto"/>
        <w:ind w:firstLine="482"/>
        <w:rPr>
          <w:rFonts w:ascii="宋体" w:hAnsi="宋体" w:cs="宋体"/>
          <w:b/>
          <w:bCs/>
          <w:color w:val="auto"/>
          <w:szCs w:val="24"/>
          <w:highlight w:val="none"/>
          <w:u w:val="single"/>
        </w:rPr>
      </w:pPr>
      <w:r>
        <w:rPr>
          <w:rStyle w:val="34"/>
          <w:rFonts w:hint="eastAsia" w:ascii="宋体" w:hAnsi="宋体" w:cs="宋体"/>
          <w:b w:val="0"/>
          <w:bCs w:val="0"/>
          <w:color w:val="auto"/>
          <w:spacing w:val="0"/>
          <w:szCs w:val="24"/>
          <w:highlight w:val="none"/>
          <w:lang w:val="en-US" w:eastAsia="zh-CN"/>
        </w:rPr>
        <w:t>7</w:t>
      </w:r>
      <w:r>
        <w:rPr>
          <w:rStyle w:val="34"/>
          <w:rFonts w:hint="eastAsia" w:ascii="宋体" w:hAnsi="宋体" w:eastAsia="宋体" w:cs="宋体"/>
          <w:b w:val="0"/>
          <w:bCs w:val="0"/>
          <w:color w:val="auto"/>
          <w:spacing w:val="0"/>
          <w:szCs w:val="24"/>
          <w:highlight w:val="none"/>
          <w:lang w:val="en-US" w:eastAsia="zh-CN"/>
        </w:rPr>
        <w:t>.</w:t>
      </w:r>
      <w:r>
        <w:rPr>
          <w:rStyle w:val="34"/>
          <w:rFonts w:hint="eastAsia" w:ascii="宋体" w:hAnsi="宋体" w:cs="宋体"/>
          <w:b w:val="0"/>
          <w:bCs w:val="0"/>
          <w:color w:val="auto"/>
          <w:spacing w:val="0"/>
          <w:szCs w:val="24"/>
          <w:highlight w:val="none"/>
          <w:lang w:val="en-US" w:eastAsia="zh-CN"/>
        </w:rPr>
        <w:t>本项目不属于专门面向中小企业采购的项目。本项目为服务类项目；根据中小企业划分标准，本项目所属行业为其他未列明行业。</w:t>
      </w:r>
    </w:p>
    <w:p>
      <w:pPr>
        <w:pStyle w:val="11"/>
        <w:ind w:firstLine="482"/>
        <w:rPr>
          <w:color w:val="auto"/>
          <w:highlight w:val="none"/>
        </w:rPr>
      </w:pPr>
    </w:p>
    <w:p>
      <w:pPr>
        <w:spacing w:line="360" w:lineRule="auto"/>
        <w:jc w:val="left"/>
        <w:rPr>
          <w:rFonts w:ascii="宋体" w:hAnsi="宋体" w:cs="宋体"/>
          <w:color w:val="auto"/>
          <w:szCs w:val="24"/>
          <w:highlight w:val="none"/>
        </w:rPr>
      </w:pPr>
    </w:p>
    <w:p>
      <w:pPr>
        <w:pStyle w:val="2"/>
        <w:rPr>
          <w:color w:val="auto"/>
          <w:highlight w:val="none"/>
        </w:rPr>
        <w:sectPr>
          <w:footerReference r:id="rId9"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left"/>
        <w:rPr>
          <w:rFonts w:ascii="宋体" w:hAnsi="宋体" w:cs="宋体"/>
          <w:color w:val="auto"/>
          <w:szCs w:val="24"/>
          <w:highlight w:val="none"/>
        </w:rPr>
      </w:pPr>
    </w:p>
    <w:p>
      <w:pPr>
        <w:pStyle w:val="2"/>
        <w:rPr>
          <w:color w:val="auto"/>
          <w:highlight w:val="none"/>
        </w:rPr>
        <w:sectPr>
          <w:type w:val="continuous"/>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6"/>
        <w:numPr>
          <w:ilvl w:val="0"/>
          <w:numId w:val="1"/>
        </w:numPr>
        <w:snapToGrid w:val="0"/>
        <w:spacing w:line="360" w:lineRule="auto"/>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采购项目技术要求</w:t>
      </w:r>
      <w:bookmarkEnd w:id="8"/>
      <w:bookmarkEnd w:id="9"/>
      <w:bookmarkEnd w:id="10"/>
      <w:bookmarkStart w:id="11" w:name="_Toc17235"/>
    </w:p>
    <w:bookmarkEnd w:id="11"/>
    <w:p>
      <w:pPr>
        <w:numPr>
          <w:ilvl w:val="0"/>
          <w:numId w:val="2"/>
        </w:numPr>
        <w:spacing w:line="360" w:lineRule="auto"/>
        <w:rPr>
          <w:b/>
          <w:color w:val="auto"/>
          <w:highlight w:val="none"/>
        </w:rPr>
      </w:pPr>
      <w:bookmarkStart w:id="12" w:name="_Toc25829"/>
      <w:bookmarkStart w:id="13" w:name="_Toc17489"/>
      <w:r>
        <w:rPr>
          <w:rFonts w:hint="eastAsia"/>
          <w:b/>
          <w:color w:val="auto"/>
          <w:highlight w:val="none"/>
        </w:rPr>
        <w:t>本项目采购的产品为本国产品。</w:t>
      </w:r>
    </w:p>
    <w:p>
      <w:pPr>
        <w:numPr>
          <w:ilvl w:val="0"/>
          <w:numId w:val="2"/>
        </w:numPr>
        <w:spacing w:line="360" w:lineRule="auto"/>
        <w:rPr>
          <w:rFonts w:hint="eastAsia"/>
          <w:b/>
          <w:color w:val="auto"/>
          <w:highlight w:val="none"/>
        </w:rPr>
      </w:pPr>
      <w:r>
        <w:rPr>
          <w:rFonts w:hint="eastAsia"/>
          <w:b/>
          <w:color w:val="auto"/>
          <w:highlight w:val="none"/>
        </w:rPr>
        <w:t>佛山市公安局禅城分局各机关单位现有公务用车552辆，其中汽车183辆、摩托车369辆。为做好上述车辆2024年度保险的续保工作，现拟进行分类购买车辆保险，具体详见下列分类情况：</w:t>
      </w:r>
    </w:p>
    <w:p>
      <w:pPr>
        <w:widowControl w:val="0"/>
        <w:numPr>
          <w:ilvl w:val="0"/>
          <w:numId w:val="2"/>
        </w:numPr>
        <w:spacing w:beforeLines="50" w:afterLines="50" w:line="360" w:lineRule="auto"/>
        <w:ind w:left="510" w:hanging="510"/>
        <w:rPr>
          <w:rFonts w:hint="eastAsia"/>
          <w:b w:val="0"/>
          <w:bCs/>
          <w:color w:val="auto"/>
          <w:highlight w:val="none"/>
        </w:rPr>
      </w:pPr>
      <w:r>
        <w:rPr>
          <w:rFonts w:hint="eastAsia"/>
          <w:b w:val="0"/>
          <w:bCs/>
          <w:color w:val="auto"/>
          <w:highlight w:val="none"/>
          <w:lang w:val="en-US" w:eastAsia="zh-CN"/>
        </w:rPr>
        <w:t>项目内容：</w:t>
      </w:r>
      <w:r>
        <w:rPr>
          <w:rFonts w:hint="eastAsia" w:ascii="宋体" w:hAnsi="宋体" w:eastAsia="宋体" w:cs="宋体"/>
          <w:b w:val="0"/>
          <w:bCs/>
          <w:color w:val="auto"/>
          <w:kern w:val="2"/>
          <w:sz w:val="24"/>
          <w:szCs w:val="24"/>
          <w:highlight w:val="none"/>
          <w:lang w:val="en-US" w:eastAsia="zh-CN"/>
        </w:rPr>
        <w:t>本次采购车辆保险期限为一个年度（</w:t>
      </w:r>
      <w:r>
        <w:rPr>
          <w:rFonts w:hint="eastAsia" w:ascii="宋体" w:hAnsi="宋体" w:eastAsia="宋体" w:cs="宋体"/>
          <w:b w:val="0"/>
          <w:bCs/>
          <w:color w:val="auto"/>
          <w:kern w:val="2"/>
          <w:sz w:val="24"/>
          <w:szCs w:val="24"/>
          <w:highlight w:val="none"/>
          <w:u w:val="single"/>
          <w:lang w:val="en-US" w:eastAsia="zh-CN"/>
        </w:rPr>
        <w:t>2024年度</w:t>
      </w:r>
      <w:r>
        <w:rPr>
          <w:rFonts w:hint="eastAsia" w:ascii="宋体" w:hAnsi="宋体" w:eastAsia="宋体" w:cs="宋体"/>
          <w:b w:val="0"/>
          <w:bCs/>
          <w:color w:val="auto"/>
          <w:kern w:val="2"/>
          <w:sz w:val="24"/>
          <w:szCs w:val="24"/>
          <w:highlight w:val="none"/>
          <w:lang w:val="en-US" w:eastAsia="zh-CN"/>
        </w:rPr>
        <w:t>），要求成交供应商做好到期车辆续保工作，未到期续保车辆做好跟踪服务，以备到期及时续保。</w:t>
      </w:r>
    </w:p>
    <w:p>
      <w:pPr>
        <w:widowControl w:val="0"/>
        <w:numPr>
          <w:ilvl w:val="0"/>
          <w:numId w:val="2"/>
        </w:numPr>
        <w:spacing w:beforeLines="50" w:afterLines="50" w:line="360" w:lineRule="auto"/>
        <w:ind w:left="510" w:hanging="51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分类情况</w:t>
      </w:r>
      <w:r>
        <w:rPr>
          <w:rFonts w:hint="eastAsia" w:ascii="宋体" w:hAnsi="宋体" w:eastAsia="宋体" w:cs="宋体"/>
          <w:b/>
          <w:bCs/>
          <w:color w:val="auto"/>
          <w:sz w:val="24"/>
          <w:szCs w:val="24"/>
          <w:highlight w:val="none"/>
          <w:lang w:eastAsia="zh-CN"/>
        </w:rPr>
        <w:t>：</w:t>
      </w:r>
    </w:p>
    <w:p>
      <w:pPr>
        <w:pStyle w:val="11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汽车类：</w:t>
      </w:r>
      <w:r>
        <w:rPr>
          <w:rFonts w:hint="eastAsia" w:ascii="宋体" w:hAnsi="宋体" w:eastAsia="宋体" w:cs="宋体"/>
          <w:color w:val="auto"/>
          <w:sz w:val="24"/>
          <w:szCs w:val="24"/>
          <w:highlight w:val="none"/>
          <w:lang w:val="en-US" w:eastAsia="zh-CN"/>
        </w:rPr>
        <w:t>183辆</w:t>
      </w:r>
      <w:r>
        <w:rPr>
          <w:rFonts w:hint="eastAsia" w:ascii="宋体" w:hAnsi="宋体" w:eastAsia="宋体" w:cs="宋体"/>
          <w:color w:val="auto"/>
          <w:sz w:val="24"/>
          <w:szCs w:val="24"/>
          <w:highlight w:val="none"/>
        </w:rPr>
        <w:t>购买全保(包括的险种有：交强险、车损险、第三者险</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万、司机乘客险各1万、不计免赔险)、车船税；</w:t>
      </w:r>
    </w:p>
    <w:p>
      <w:pPr>
        <w:pStyle w:val="46"/>
        <w:spacing w:line="360" w:lineRule="auto"/>
        <w:ind w:firstLine="0" w:firstLineChars="0"/>
        <w:rPr>
          <w:rFonts w:hint="eastAsia"/>
          <w:color w:val="auto"/>
          <w:highlight w:val="none"/>
          <w:lang w:val="en-US" w:eastAsia="zh-CN"/>
        </w:rPr>
      </w:pPr>
      <w:r>
        <w:rPr>
          <w:rFonts w:hint="eastAsia" w:ascii="宋体" w:hAnsi="宋体" w:eastAsia="宋体" w:cs="宋体"/>
          <w:color w:val="auto"/>
          <w:sz w:val="24"/>
          <w:szCs w:val="24"/>
          <w:highlight w:val="none"/>
        </w:rPr>
        <w:t>摩托车类：</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辆地方牌摩托车、</w:t>
      </w:r>
      <w:r>
        <w:rPr>
          <w:rFonts w:hint="eastAsia" w:ascii="宋体" w:hAnsi="宋体" w:eastAsia="宋体" w:cs="宋体"/>
          <w:color w:val="auto"/>
          <w:sz w:val="24"/>
          <w:szCs w:val="24"/>
          <w:highlight w:val="none"/>
          <w:lang w:val="en-US" w:eastAsia="zh-CN"/>
        </w:rPr>
        <w:t>134</w:t>
      </w:r>
      <w:r>
        <w:rPr>
          <w:rFonts w:hint="eastAsia" w:ascii="宋体" w:hAnsi="宋体" w:eastAsia="宋体" w:cs="宋体"/>
          <w:color w:val="auto"/>
          <w:sz w:val="24"/>
          <w:szCs w:val="24"/>
          <w:highlight w:val="none"/>
        </w:rPr>
        <w:t>辆铁骑摩托车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rPr>
        <w:t>辆警牌摩托车购买全保(包括的险种有：车损险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第三者（50万），司机、乘客座位险（1万），交强险，不计免陪)、车船税</w:t>
      </w:r>
      <w:r>
        <w:rPr>
          <w:rFonts w:hint="eastAsia" w:ascii="宋体" w:hAnsi="宋体" w:eastAsia="宋体" w:cs="宋体"/>
          <w:color w:val="auto"/>
          <w:sz w:val="24"/>
          <w:szCs w:val="24"/>
          <w:highlight w:val="none"/>
          <w:lang w:eastAsia="zh-CN"/>
        </w:rPr>
        <w:t>。</w:t>
      </w:r>
    </w:p>
    <w:p>
      <w:pPr>
        <w:pStyle w:val="46"/>
        <w:ind w:firstLine="0" w:firstLineChars="0"/>
        <w:rPr>
          <w:rFonts w:hint="eastAsia"/>
          <w:color w:val="auto"/>
          <w:highlight w:val="none"/>
        </w:rPr>
      </w:pPr>
    </w:p>
    <w:p>
      <w:pPr>
        <w:pStyle w:val="46"/>
        <w:ind w:firstLine="0" w:firstLineChars="0"/>
        <w:rPr>
          <w:rFonts w:hint="default"/>
          <w:color w:val="auto"/>
          <w:highlight w:val="none"/>
          <w:lang w:val="en-US" w:eastAsia="zh-CN"/>
        </w:rPr>
      </w:pPr>
    </w:p>
    <w:p>
      <w:pPr>
        <w:pStyle w:val="46"/>
        <w:ind w:firstLine="0" w:firstLineChars="0"/>
        <w:rPr>
          <w:rFonts w:hint="eastAsia"/>
          <w:b w:val="0"/>
          <w:bCs/>
          <w:color w:val="auto"/>
          <w:highlight w:val="none"/>
        </w:rPr>
      </w:pPr>
    </w:p>
    <w:p>
      <w:pPr>
        <w:rPr>
          <w:rFonts w:hint="eastAsia"/>
          <w:b/>
          <w:color w:val="auto"/>
          <w:highlight w:val="none"/>
        </w:rPr>
      </w:pPr>
      <w:r>
        <w:rPr>
          <w:rFonts w:hint="eastAsia"/>
          <w:b/>
          <w:color w:val="auto"/>
          <w:highlight w:val="none"/>
          <w:lang w:val="en-US" w:eastAsia="zh-CN"/>
        </w:rPr>
        <w:br w:type="page"/>
      </w:r>
    </w:p>
    <w:p>
      <w:pPr>
        <w:pStyle w:val="46"/>
        <w:rPr>
          <w:rFonts w:hint="eastAsia"/>
          <w:color w:val="auto"/>
          <w:highlight w:val="none"/>
        </w:rPr>
      </w:pPr>
    </w:p>
    <w:p>
      <w:pPr>
        <w:pStyle w:val="6"/>
        <w:numPr>
          <w:ilvl w:val="0"/>
          <w:numId w:val="3"/>
        </w:numPr>
        <w:snapToGrid/>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采购项目商务要求</w:t>
      </w:r>
    </w:p>
    <w:p>
      <w:pPr>
        <w:numPr>
          <w:ilvl w:val="-1"/>
          <w:numId w:val="0"/>
        </w:numPr>
        <w:rPr>
          <w:rFonts w:hint="default" w:ascii="Times New Roman" w:hAnsi="Times New Roman" w:eastAsia="宋体" w:cs="Times New Roman"/>
          <w:b w:val="0"/>
          <w:bCs w:val="0"/>
          <w:color w:val="auto"/>
          <w:szCs w:val="22"/>
          <w:highlight w:val="none"/>
        </w:rPr>
      </w:pPr>
    </w:p>
    <w:tbl>
      <w:tblPr>
        <w:tblStyle w:val="31"/>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3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2" w:type="dxa"/>
            <w:noWrap w:val="0"/>
            <w:vAlign w:val="center"/>
          </w:tcPr>
          <w:p>
            <w:pPr>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835" w:type="dxa"/>
            <w:noWrap w:val="0"/>
            <w:vAlign w:val="center"/>
          </w:tcPr>
          <w:p>
            <w:pPr>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商务条款</w:t>
            </w:r>
          </w:p>
        </w:tc>
        <w:tc>
          <w:tcPr>
            <w:tcW w:w="6690" w:type="dxa"/>
            <w:noWrap w:val="0"/>
            <w:vAlign w:val="center"/>
          </w:tcPr>
          <w:p>
            <w:pPr>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noWrap w:val="0"/>
            <w:vAlign w:val="center"/>
          </w:tcPr>
          <w:p>
            <w:pPr>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835" w:type="dxa"/>
            <w:noWrap w:val="0"/>
            <w:vAlign w:val="center"/>
          </w:tcPr>
          <w:p>
            <w:pPr>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w:t>
            </w:r>
            <w:r>
              <w:rPr>
                <w:rFonts w:hint="eastAsia" w:ascii="宋体" w:hAnsi="宋体" w:cs="宋体"/>
                <w:bCs/>
                <w:color w:val="auto"/>
                <w:sz w:val="24"/>
                <w:szCs w:val="24"/>
                <w:highlight w:val="none"/>
                <w:lang w:val="en-US" w:eastAsia="zh-CN"/>
              </w:rPr>
              <w:t>预算</w:t>
            </w:r>
            <w:r>
              <w:rPr>
                <w:rFonts w:hint="eastAsia" w:ascii="宋体" w:hAnsi="宋体" w:cs="宋体"/>
                <w:bCs/>
                <w:color w:val="auto"/>
                <w:sz w:val="24"/>
                <w:szCs w:val="24"/>
                <w:highlight w:val="none"/>
              </w:rPr>
              <w:t>金额</w:t>
            </w:r>
          </w:p>
        </w:tc>
        <w:tc>
          <w:tcPr>
            <w:tcW w:w="6690" w:type="dxa"/>
            <w:noWrap w:val="0"/>
            <w:vAlign w:val="center"/>
          </w:tcPr>
          <w:p>
            <w:pPr>
              <w:widowControl/>
              <w:spacing w:line="24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7</w:t>
            </w:r>
            <w:r>
              <w:rPr>
                <w:rFonts w:hint="eastAsia" w:ascii="宋体" w:hAnsi="宋体" w:cs="宋体"/>
                <w:b/>
                <w:color w:val="auto"/>
                <w:sz w:val="24"/>
                <w:szCs w:val="24"/>
                <w:highlight w:val="none"/>
                <w:lang w:val="en-US" w:eastAsia="zh-CN"/>
              </w:rPr>
              <w:t>02</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430</w:t>
            </w:r>
            <w:r>
              <w:rPr>
                <w:rFonts w:hint="eastAsia" w:ascii="宋体" w:hAnsi="宋体" w:cs="宋体"/>
                <w:b/>
                <w:color w:val="auto"/>
                <w:sz w:val="24"/>
                <w:szCs w:val="24"/>
                <w:highlight w:val="none"/>
                <w:lang w:eastAsia="zh-CN"/>
              </w:rPr>
              <w:t>.00</w:t>
            </w:r>
            <w:r>
              <w:rPr>
                <w:rFonts w:hint="eastAsia" w:ascii="宋体" w:hAnsi="宋体" w:cs="宋体"/>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2" w:type="dxa"/>
            <w:noWrap w:val="0"/>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1835" w:type="dxa"/>
            <w:noWrap w:val="0"/>
            <w:vAlign w:val="center"/>
          </w:tcPr>
          <w:p>
            <w:pPr>
              <w:spacing w:line="240" w:lineRule="auto"/>
              <w:jc w:val="center"/>
              <w:rPr>
                <w:rFonts w:ascii="宋体" w:hAnsi="宋体" w:cs="宋体"/>
                <w:bCs/>
                <w:color w:val="auto"/>
                <w:kern w:val="0"/>
                <w:sz w:val="24"/>
                <w:szCs w:val="24"/>
                <w:highlight w:val="none"/>
              </w:rPr>
            </w:pPr>
            <w:r>
              <w:rPr>
                <w:rFonts w:hint="eastAsia" w:ascii="宋体" w:hAnsi="宋体"/>
                <w:color w:val="auto"/>
                <w:sz w:val="24"/>
                <w:szCs w:val="24"/>
                <w:highlight w:val="none"/>
              </w:rPr>
              <w:t>项目服务</w:t>
            </w:r>
            <w:r>
              <w:rPr>
                <w:rFonts w:ascii="宋体" w:hAnsi="宋体"/>
                <w:color w:val="auto"/>
                <w:sz w:val="24"/>
                <w:szCs w:val="24"/>
                <w:highlight w:val="none"/>
              </w:rPr>
              <w:t>地点</w:t>
            </w:r>
          </w:p>
        </w:tc>
        <w:tc>
          <w:tcPr>
            <w:tcW w:w="6690" w:type="dxa"/>
            <w:noWrap w:val="0"/>
            <w:vAlign w:val="center"/>
          </w:tcPr>
          <w:p>
            <w:pPr>
              <w:spacing w:line="240" w:lineRule="auto"/>
              <w:jc w:val="left"/>
              <w:rPr>
                <w:rFonts w:ascii="宋体" w:hAnsi="宋体" w:cs="宋体"/>
                <w:color w:val="auto"/>
                <w:sz w:val="24"/>
                <w:szCs w:val="24"/>
                <w:highlight w:val="none"/>
              </w:rPr>
            </w:pPr>
            <w:r>
              <w:rPr>
                <w:rFonts w:ascii="宋体" w:hAnsi="宋体"/>
                <w:color w:val="auto"/>
                <w:sz w:val="24"/>
                <w:szCs w:val="24"/>
                <w:highlight w:val="none"/>
              </w:rPr>
              <w:t>采购人（用户）指定地点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2" w:type="dxa"/>
            <w:noWrap w:val="0"/>
            <w:vAlign w:val="center"/>
          </w:tcPr>
          <w:p>
            <w:pPr>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1835" w:type="dxa"/>
            <w:noWrap w:val="0"/>
            <w:vAlign w:val="center"/>
          </w:tcPr>
          <w:p>
            <w:pPr>
              <w:spacing w:line="240" w:lineRule="auto"/>
              <w:jc w:val="center"/>
              <w:rPr>
                <w:rFonts w:ascii="宋体" w:hAnsi="宋体" w:cs="宋体"/>
                <w:color w:val="auto"/>
                <w:kern w:val="0"/>
                <w:sz w:val="24"/>
                <w:szCs w:val="24"/>
                <w:highlight w:val="none"/>
              </w:rPr>
            </w:pPr>
            <w:r>
              <w:rPr>
                <w:rFonts w:hint="eastAsia" w:ascii="宋体" w:hAnsi="宋体"/>
                <w:color w:val="auto"/>
                <w:sz w:val="24"/>
                <w:szCs w:val="24"/>
                <w:highlight w:val="none"/>
              </w:rPr>
              <w:t>服务期</w:t>
            </w:r>
          </w:p>
        </w:tc>
        <w:tc>
          <w:tcPr>
            <w:tcW w:w="6690" w:type="dxa"/>
            <w:noWrap w:val="0"/>
            <w:vAlign w:val="center"/>
          </w:tcPr>
          <w:p>
            <w:pPr>
              <w:spacing w:line="240" w:lineRule="auto"/>
              <w:jc w:val="left"/>
              <w:rPr>
                <w:rFonts w:hint="eastAsia" w:ascii="宋体" w:hAnsi="宋体" w:cs="宋体"/>
                <w:color w:val="auto"/>
                <w:kern w:val="0"/>
                <w:sz w:val="24"/>
                <w:szCs w:val="24"/>
                <w:highlight w:val="none"/>
              </w:rPr>
            </w:pPr>
            <w:r>
              <w:rPr>
                <w:rFonts w:hint="eastAsia"/>
                <w:bCs/>
                <w:color w:val="auto"/>
                <w:sz w:val="24"/>
                <w:szCs w:val="24"/>
                <w:highlight w:val="none"/>
                <w:lang w:val="en-US" w:eastAsia="zh-CN"/>
              </w:rPr>
              <w:t>服务期一年，</w:t>
            </w:r>
            <w:r>
              <w:rPr>
                <w:rFonts w:hint="eastAsia"/>
                <w:bCs/>
                <w:color w:val="auto"/>
                <w:sz w:val="24"/>
                <w:szCs w:val="24"/>
                <w:highlight w:val="none"/>
              </w:rPr>
              <w:t>合同生效后之日起提供</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车辆</w:t>
            </w:r>
            <w:r>
              <w:rPr>
                <w:rFonts w:hint="eastAsia"/>
                <w:bCs/>
                <w:color w:val="auto"/>
                <w:sz w:val="24"/>
                <w:szCs w:val="24"/>
                <w:highlight w:val="none"/>
                <w:u w:val="single"/>
              </w:rPr>
              <w:t xml:space="preserve">保险   </w:t>
            </w:r>
            <w:r>
              <w:rPr>
                <w:rFonts w:hint="eastAsia"/>
                <w:bCs/>
                <w:color w:val="auto"/>
                <w:sz w:val="24"/>
                <w:szCs w:val="24"/>
                <w:highlight w:val="none"/>
              </w:rPr>
              <w:t>服务</w:t>
            </w:r>
            <w:r>
              <w:rPr>
                <w:rFonts w:hint="eastAsia"/>
                <w:bCs/>
                <w:color w:val="auto"/>
                <w:sz w:val="24"/>
                <w:szCs w:val="24"/>
                <w:highlight w:val="none"/>
                <w:lang w:eastAsia="zh-CN"/>
              </w:rPr>
              <w:t>，</w:t>
            </w:r>
            <w:r>
              <w:rPr>
                <w:rFonts w:hint="eastAsia"/>
                <w:bCs/>
                <w:color w:val="auto"/>
                <w:sz w:val="24"/>
                <w:szCs w:val="24"/>
                <w:highlight w:val="none"/>
                <w:lang w:val="en-US" w:eastAsia="zh-CN"/>
              </w:rPr>
              <w:t>直至本项目服务范围内采购的车辆保险到期为止或到达本项目合同金额为止</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2" w:type="dxa"/>
            <w:noWrap w:val="0"/>
            <w:vAlign w:val="center"/>
          </w:tcPr>
          <w:p>
            <w:pPr>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835" w:type="dxa"/>
            <w:noWrap w:val="0"/>
            <w:vAlign w:val="center"/>
          </w:tcPr>
          <w:p>
            <w:pPr>
              <w:spacing w:line="24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付款方式</w:t>
            </w:r>
          </w:p>
        </w:tc>
        <w:tc>
          <w:tcPr>
            <w:tcW w:w="6690" w:type="dxa"/>
            <w:noWrap w:val="0"/>
            <w:vAlign w:val="center"/>
          </w:tcPr>
          <w:p>
            <w:pPr>
              <w:pStyle w:val="136"/>
              <w:spacing w:line="240" w:lineRule="auto"/>
              <w:jc w:val="left"/>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（1）保险金额按实际购买的车辆保险费用进行结算，年度保险费用不高于项目</w:t>
            </w:r>
            <w:r>
              <w:rPr>
                <w:rFonts w:hint="eastAsia" w:cs="Times New Roman"/>
                <w:color w:val="auto"/>
                <w:sz w:val="24"/>
                <w:szCs w:val="24"/>
                <w:highlight w:val="none"/>
                <w:lang w:val="en-US" w:eastAsia="zh-CN"/>
              </w:rPr>
              <w:t>预算</w:t>
            </w:r>
            <w:r>
              <w:rPr>
                <w:rFonts w:hint="eastAsia" w:eastAsia="宋体" w:cs="Times New Roman"/>
                <w:color w:val="auto"/>
                <w:sz w:val="24"/>
                <w:szCs w:val="24"/>
                <w:highlight w:val="none"/>
                <w:lang w:val="en-US" w:eastAsia="zh-CN"/>
              </w:rPr>
              <w:t>金额。</w:t>
            </w:r>
          </w:p>
          <w:p>
            <w:pPr>
              <w:pStyle w:val="136"/>
              <w:spacing w:line="240" w:lineRule="auto"/>
              <w:jc w:val="left"/>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（2）成交供应商于每月5日前向采购人提出下一个月车辆续保费用书面申请，采购人收到申请后5个工作日内以转账的方式向成交供应商进行支付，成交供应商在采购人支付后3天内提供保单。</w:t>
            </w:r>
          </w:p>
          <w:p>
            <w:pPr>
              <w:spacing w:line="240" w:lineRule="auto"/>
              <w:jc w:val="left"/>
              <w:rPr>
                <w:rFonts w:hint="eastAsia" w:ascii="宋体" w:hAnsi="宋体"/>
                <w:color w:val="auto"/>
                <w:sz w:val="24"/>
                <w:szCs w:val="24"/>
                <w:highlight w:val="none"/>
              </w:rPr>
            </w:pPr>
            <w:r>
              <w:rPr>
                <w:rFonts w:hint="eastAsia" w:eastAsia="宋体" w:cs="Times New Roman"/>
                <w:color w:val="auto"/>
                <w:sz w:val="24"/>
                <w:szCs w:val="24"/>
                <w:highlight w:val="none"/>
                <w:lang w:val="en-US" w:eastAsia="zh-CN"/>
              </w:rPr>
              <w:t>（3）</w:t>
            </w:r>
            <w:r>
              <w:rPr>
                <w:rFonts w:hint="eastAsia" w:ascii="宋体" w:hAnsi="宋体" w:cs="宋体"/>
                <w:color w:val="auto"/>
                <w:sz w:val="24"/>
                <w:szCs w:val="24"/>
                <w:highlight w:val="none"/>
              </w:rPr>
              <w:t>付款由</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提出书面申请并提供该期相应金额的发票，方可办理支付手续；收款方、出具发票方、合同乙方均必须与</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名称一致。否则</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有权顺延付款，</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不得以此为由暂停实施本项目或要求顺延</w:t>
            </w:r>
            <w:r>
              <w:rPr>
                <w:rFonts w:hint="eastAsia" w:ascii="宋体" w:hAnsi="宋体" w:cs="宋体"/>
                <w:color w:val="auto"/>
                <w:sz w:val="24"/>
                <w:szCs w:val="24"/>
                <w:highlight w:val="none"/>
                <w:lang w:val="en-US" w:eastAsia="zh-CN"/>
              </w:rPr>
              <w:t>车辆续保</w:t>
            </w: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2" w:type="dxa"/>
            <w:noWrap w:val="0"/>
            <w:vAlign w:val="center"/>
          </w:tcPr>
          <w:p>
            <w:pPr>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835" w:type="dxa"/>
            <w:noWrap w:val="0"/>
            <w:vAlign w:val="center"/>
          </w:tcPr>
          <w:p>
            <w:pPr>
              <w:spacing w:line="240" w:lineRule="auto"/>
              <w:jc w:val="center"/>
              <w:rPr>
                <w:rFonts w:ascii="宋体" w:hAnsi="宋体"/>
                <w:color w:val="auto"/>
                <w:sz w:val="24"/>
                <w:szCs w:val="24"/>
                <w:highlight w:val="none"/>
              </w:rPr>
            </w:pPr>
            <w:r>
              <w:rPr>
                <w:rFonts w:hint="eastAsia" w:ascii="宋体" w:hAnsi="宋体" w:cs="宋体"/>
                <w:color w:val="auto"/>
                <w:sz w:val="24"/>
                <w:szCs w:val="24"/>
                <w:highlight w:val="none"/>
              </w:rPr>
              <w:t>付款要求</w:t>
            </w:r>
          </w:p>
        </w:tc>
        <w:tc>
          <w:tcPr>
            <w:tcW w:w="6690" w:type="dxa"/>
            <w:noWrap w:val="0"/>
            <w:vAlign w:val="center"/>
          </w:tcPr>
          <w:p>
            <w:pPr>
              <w:widowControl/>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）“付款”是指采购人向主管部门发出申请付款文件。</w:t>
            </w:r>
          </w:p>
          <w:p>
            <w:pPr>
              <w:widowControl/>
              <w:spacing w:line="240" w:lineRule="auto"/>
              <w:rPr>
                <w:rFonts w:hint="eastAsia"/>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理解采购人付款的相关程序，因采购人使用的是财政资金，采购人在前款规定的付款时间为向财政支付部门提出办理财政支付申请手续的时间，不含财政支付部门审核的时间，采购人在约定期限内向财政支付部门发出付款申请即视为采购人已按期支付。因财政支付审批流程及办理手续而造成项目支付进度有所推延，采购人不承担逾期付款违约责任。（若因政府财政部门年底封账导致逾期付款，采购人不承担逾期付款违约责任）</w:t>
            </w:r>
          </w:p>
        </w:tc>
      </w:tr>
    </w:tbl>
    <w:p>
      <w:pPr>
        <w:pStyle w:val="156"/>
        <w:tabs>
          <w:tab w:val="left" w:pos="540"/>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其他商务要求：</w:t>
      </w:r>
    </w:p>
    <w:p>
      <w:pPr>
        <w:pStyle w:val="156"/>
        <w:tabs>
          <w:tab w:val="left" w:pos="540"/>
        </w:tabs>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1、车辆发生事故时，</w:t>
      </w:r>
      <w:r>
        <w:rPr>
          <w:rFonts w:hint="eastAsia" w:ascii="宋体" w:hAnsi="宋体" w:eastAsia="宋体" w:cs="宋体"/>
          <w:color w:val="auto"/>
          <w:sz w:val="24"/>
          <w:szCs w:val="24"/>
          <w:highlight w:val="none"/>
        </w:rPr>
        <w:t>佛山区域内</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应当在投保人报案后半小时内到场查勘；佛山区域外的</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应当在报案后一小时内到达。</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未能在要求的时间内到达或明确回复不到场查勘、定损的，可授权维修厂即时维修，</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必须无条件接受已发生的维修费用，凭修车发票、车损照片直接赔付。</w:t>
      </w:r>
    </w:p>
    <w:p>
      <w:pPr>
        <w:pStyle w:val="156"/>
        <w:tabs>
          <w:tab w:val="left" w:pos="540"/>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2、事故定损。</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定损金额由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与维修厂自行协商确定，若须第三方定损，定损费用由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pStyle w:val="156"/>
        <w:tabs>
          <w:tab w:val="left" w:pos="540"/>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hAnsi="宋体" w:eastAsia="宋体" w:cs="宋体"/>
          <w:color w:val="auto"/>
          <w:sz w:val="24"/>
          <w:szCs w:val="24"/>
          <w:highlight w:val="none"/>
          <w:lang w:eastAsia="zh-CN"/>
        </w:rPr>
        <w:t>成交供应商</w:t>
      </w:r>
      <w:r>
        <w:rPr>
          <w:rFonts w:hint="eastAsia" w:ascii="宋体" w:hAnsi="宋体" w:eastAsia="宋体" w:cs="宋体"/>
          <w:bCs/>
          <w:color w:val="auto"/>
          <w:sz w:val="24"/>
          <w:szCs w:val="24"/>
          <w:highlight w:val="none"/>
        </w:rPr>
        <w:t>须将采购人协议维修厂作为定损维修厂。</w:t>
      </w:r>
    </w:p>
    <w:p>
      <w:pPr>
        <w:pStyle w:val="156"/>
        <w:tabs>
          <w:tab w:val="left" w:pos="2340"/>
        </w:tabs>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增值服务</w:t>
      </w:r>
      <w:r>
        <w:rPr>
          <w:rFonts w:hint="eastAsia" w:hAnsi="宋体" w:eastAsia="宋体" w:cs="宋体"/>
          <w:b/>
          <w:bCs/>
          <w:color w:val="auto"/>
          <w:sz w:val="24"/>
          <w:szCs w:val="24"/>
          <w:highlight w:val="none"/>
          <w:lang w:eastAsia="zh-CN"/>
        </w:rPr>
        <w:t>：</w:t>
      </w:r>
    </w:p>
    <w:p>
      <w:pPr>
        <w:pStyle w:val="156"/>
        <w:tabs>
          <w:tab w:val="left" w:pos="2340"/>
        </w:tabs>
        <w:adjustRightInd w:val="0"/>
        <w:snapToGrid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道路救援服务（包括但不限于以下项目：更换轮胎、现场抢修、拖车牵引、吊装救援、困境救援等）</w:t>
      </w:r>
      <w:r>
        <w:rPr>
          <w:rFonts w:hint="eastAsia" w:hAnsi="宋体" w:eastAsia="宋体" w:cs="宋体"/>
          <w:color w:val="auto"/>
          <w:sz w:val="24"/>
          <w:szCs w:val="24"/>
          <w:highlight w:val="none"/>
          <w:lang w:eastAsia="zh-CN"/>
        </w:rPr>
        <w:t>。</w:t>
      </w:r>
    </w:p>
    <w:p>
      <w:pPr>
        <w:pStyle w:val="156"/>
        <w:tabs>
          <w:tab w:val="left" w:pos="2340"/>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法律援助</w:t>
      </w:r>
      <w:r>
        <w:rPr>
          <w:rFonts w:hint="eastAsia" w:hAnsi="宋体" w:eastAsia="宋体" w:cs="宋体"/>
          <w:color w:val="auto"/>
          <w:sz w:val="24"/>
          <w:szCs w:val="24"/>
          <w:highlight w:val="none"/>
          <w:lang w:val="en-US" w:eastAsia="zh-CN"/>
        </w:rPr>
        <w:t>服务</w:t>
      </w:r>
      <w:r>
        <w:rPr>
          <w:rFonts w:hint="eastAsia" w:hAnsi="宋体" w:eastAsia="宋体" w:cs="宋体"/>
          <w:color w:val="auto"/>
          <w:sz w:val="24"/>
          <w:szCs w:val="24"/>
          <w:highlight w:val="none"/>
          <w:lang w:eastAsia="zh-CN"/>
        </w:rPr>
        <w:t>。</w:t>
      </w:r>
    </w:p>
    <w:p>
      <w:pPr>
        <w:pStyle w:val="156"/>
        <w:tabs>
          <w:tab w:val="left" w:pos="2340"/>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3、出险后派专人指导或代理投保人办理理赔手续，指派专人上门取出险资料。包括代理/协助事故现场处理（指引、调解、施救）及代理/协助事故调解（驻点医院调解、预约调解）</w:t>
      </w:r>
      <w:r>
        <w:rPr>
          <w:rFonts w:hint="eastAsia" w:hAnsi="宋体" w:eastAsia="宋体" w:cs="宋体"/>
          <w:color w:val="auto"/>
          <w:sz w:val="24"/>
          <w:szCs w:val="24"/>
          <w:highlight w:val="none"/>
          <w:lang w:eastAsia="zh-CN"/>
        </w:rPr>
        <w:t>。</w:t>
      </w:r>
    </w:p>
    <w:p>
      <w:pPr>
        <w:pStyle w:val="156"/>
        <w:tabs>
          <w:tab w:val="left" w:pos="23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4、快速理赔服务。预估损失金额在10000元以内的单方事故，当即确定损失金额，车主可将车开到指定维修厂后再通知</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查勘。</w:t>
      </w:r>
    </w:p>
    <w:p>
      <w:pPr>
        <w:pStyle w:val="156"/>
        <w:tabs>
          <w:tab w:val="left" w:pos="23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5、预付赔款服务。对于事故和保险责任明确的重大保险事故，</w:t>
      </w:r>
      <w:r>
        <w:rPr>
          <w:rFonts w:hint="eastAsia"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结合事故责任和保单条款，根据已有证明和资料对能确定的损失金额一定比例向客户预付赔款。</w:t>
      </w:r>
    </w:p>
    <w:p>
      <w:pPr>
        <w:pStyle w:val="157"/>
        <w:tabs>
          <w:tab w:val="left" w:pos="2340"/>
        </w:tabs>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6、在合同期内，保险公司定期组织各车辆使用部门和人员定期开展业务培训，并上门查验车辆情况，快速处理小型剐蹭擦痕</w:t>
      </w:r>
      <w:r>
        <w:rPr>
          <w:rFonts w:hint="eastAsia" w:ascii="宋体" w:hAnsi="宋体" w:eastAsia="宋体" w:cs="宋体"/>
          <w:color w:val="auto"/>
          <w:sz w:val="24"/>
          <w:szCs w:val="24"/>
          <w:highlight w:val="none"/>
          <w:lang w:val="en-US" w:eastAsia="zh-CN"/>
        </w:rPr>
        <w:t>和车辆翻新服务</w:t>
      </w:r>
      <w:r>
        <w:rPr>
          <w:rFonts w:hint="eastAsia" w:ascii="宋体" w:hAnsi="宋体" w:eastAsia="宋体" w:cs="宋体"/>
          <w:color w:val="auto"/>
          <w:sz w:val="24"/>
          <w:szCs w:val="24"/>
          <w:highlight w:val="none"/>
        </w:rPr>
        <w:t>。</w:t>
      </w:r>
    </w:p>
    <w:p>
      <w:pPr>
        <w:pStyle w:val="156"/>
        <w:tabs>
          <w:tab w:val="left" w:pos="2340"/>
        </w:tabs>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2.3.其他事项要求：</w:t>
      </w:r>
    </w:p>
    <w:p>
      <w:pPr>
        <w:pStyle w:val="157"/>
        <w:tabs>
          <w:tab w:val="left" w:pos="23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hAnsi="宋体" w:eastAsia="宋体" w:cs="宋体"/>
          <w:color w:val="auto"/>
          <w:sz w:val="24"/>
          <w:szCs w:val="24"/>
          <w:highlight w:val="none"/>
          <w:lang w:eastAsia="zh-CN"/>
        </w:rPr>
        <w:t>国家金融监督管理总局（原中国保险监督管理委员会）</w:t>
      </w:r>
      <w:r>
        <w:rPr>
          <w:rFonts w:hint="eastAsia" w:ascii="宋体" w:hAnsi="宋体" w:eastAsia="宋体" w:cs="宋体"/>
          <w:color w:val="auto"/>
          <w:sz w:val="24"/>
          <w:szCs w:val="24"/>
          <w:highlight w:val="none"/>
        </w:rPr>
        <w:t>的有关规定，所有保险公司必须严格执行统一基础费率，并通过保监会指定的统一平台进行定价，根据每台车辆往年出险次数，配合各自公司自主核保系数及渠道系数，合法合规</w:t>
      </w:r>
      <w:r>
        <w:rPr>
          <w:rFonts w:hint="eastAsia"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价。</w:t>
      </w:r>
    </w:p>
    <w:p>
      <w:pPr>
        <w:pStyle w:val="11"/>
        <w:ind w:firstLine="480" w:firstLineChars="200"/>
        <w:jc w:val="left"/>
        <w:rPr>
          <w:rFonts w:hint="eastAsia" w:ascii="宋体" w:hAnsi="宋体" w:cs="宋体"/>
          <w:color w:val="auto"/>
          <w:szCs w:val="24"/>
          <w:highlight w:val="none"/>
        </w:rPr>
      </w:pPr>
    </w:p>
    <w:p>
      <w:pPr>
        <w:pStyle w:val="3"/>
        <w:spacing w:line="360" w:lineRule="auto"/>
        <w:jc w:val="center"/>
        <w:rPr>
          <w:rFonts w:hint="eastAsia" w:ascii="宋体" w:hAnsi="宋体" w:cs="宋体"/>
          <w:b/>
          <w:bCs/>
          <w:color w:val="auto"/>
          <w:sz w:val="28"/>
          <w:szCs w:val="28"/>
          <w:highlight w:val="none"/>
        </w:rPr>
        <w:sectPr>
          <w:headerReference r:id="rId10" w:type="default"/>
          <w:footerReference r:id="rId11" w:type="default"/>
          <w:pgSz w:w="11910" w:h="16840"/>
          <w:pgMar w:top="1240" w:right="1160" w:bottom="1040" w:left="1160" w:header="794" w:footer="841" w:gutter="0"/>
          <w:pgBorders>
            <w:top w:val="none" w:sz="0" w:space="0"/>
            <w:left w:val="none" w:sz="0" w:space="0"/>
            <w:bottom w:val="none" w:sz="0" w:space="0"/>
            <w:right w:val="none" w:sz="0" w:space="0"/>
          </w:pgBorders>
          <w:cols w:space="720" w:num="1"/>
        </w:sectPr>
      </w:pPr>
    </w:p>
    <w:p>
      <w:pPr>
        <w:pStyle w:val="3"/>
        <w:spacing w:line="360" w:lineRule="auto"/>
        <w:jc w:val="center"/>
        <w:rPr>
          <w:rFonts w:ascii="宋体" w:hAnsi="宋体" w:cs="宋体"/>
          <w:color w:val="auto"/>
          <w:szCs w:val="24"/>
          <w:highlight w:val="none"/>
        </w:rPr>
      </w:pPr>
      <w:r>
        <w:rPr>
          <w:rFonts w:hint="eastAsia" w:ascii="宋体" w:hAnsi="宋体" w:cs="宋体"/>
          <w:b/>
          <w:bCs/>
          <w:color w:val="auto"/>
          <w:sz w:val="28"/>
          <w:szCs w:val="28"/>
          <w:highlight w:val="none"/>
        </w:rPr>
        <w:t>第三部分  供应商须知</w:t>
      </w:r>
      <w:bookmarkEnd w:id="12"/>
      <w:bookmarkEnd w:id="13"/>
      <w:bookmarkStart w:id="14" w:name="_Toc19882"/>
    </w:p>
    <w:p>
      <w:pPr>
        <w:pStyle w:val="3"/>
        <w:spacing w:line="360" w:lineRule="auto"/>
        <w:jc w:val="center"/>
        <w:rPr>
          <w:rFonts w:ascii="宋体" w:hAnsi="宋体" w:cs="宋体"/>
          <w:color w:val="auto"/>
          <w:sz w:val="24"/>
          <w:szCs w:val="24"/>
          <w:highlight w:val="none"/>
        </w:rPr>
      </w:pPr>
      <w:bookmarkStart w:id="15" w:name="_Toc6477"/>
      <w:bookmarkStart w:id="16" w:name="_Toc8843"/>
      <w:r>
        <w:rPr>
          <w:rFonts w:hint="eastAsia" w:ascii="宋体" w:hAnsi="宋体" w:cs="宋体"/>
          <w:color w:val="auto"/>
          <w:sz w:val="24"/>
          <w:szCs w:val="24"/>
          <w:highlight w:val="none"/>
        </w:rPr>
        <w:t>供应商须知前附表</w:t>
      </w:r>
      <w:bookmarkEnd w:id="14"/>
      <w:bookmarkEnd w:id="15"/>
      <w:bookmarkEnd w:id="16"/>
    </w:p>
    <w:tbl>
      <w:tblPr>
        <w:tblStyle w:val="31"/>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82"/>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965" w:type="dxa"/>
            <w:shd w:val="clear" w:color="auto" w:fill="F3F3F3"/>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2382" w:type="dxa"/>
            <w:shd w:val="clear" w:color="auto" w:fill="F3F3F3"/>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项目</w:t>
            </w:r>
          </w:p>
        </w:tc>
        <w:tc>
          <w:tcPr>
            <w:tcW w:w="6974" w:type="dxa"/>
            <w:shd w:val="clear" w:color="auto" w:fill="F3F3F3"/>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最高限价</w:t>
            </w:r>
          </w:p>
        </w:tc>
        <w:tc>
          <w:tcPr>
            <w:tcW w:w="6974" w:type="dxa"/>
            <w:vAlign w:val="center"/>
          </w:tcPr>
          <w:p>
            <w:pPr>
              <w:snapToGrid w:val="0"/>
              <w:spacing w:line="360" w:lineRule="auto"/>
              <w:ind w:left="361" w:hanging="361" w:hangingChars="150"/>
              <w:jc w:val="center"/>
              <w:rPr>
                <w:rFonts w:ascii="宋体" w:hAnsi="宋体" w:cs="宋体"/>
                <w:b/>
                <w:color w:val="auto"/>
                <w:szCs w:val="24"/>
                <w:highlight w:val="none"/>
              </w:rPr>
            </w:pPr>
            <w:r>
              <w:rPr>
                <w:rFonts w:hint="eastAsia" w:ascii="宋体" w:hAnsi="宋体" w:cs="宋体"/>
                <w:b/>
                <w:color w:val="auto"/>
                <w:szCs w:val="24"/>
                <w:highlight w:val="none"/>
                <w:lang w:eastAsia="zh-CN"/>
              </w:rPr>
              <w:t>702,430.00元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2</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磋商保证金</w:t>
            </w:r>
          </w:p>
        </w:tc>
        <w:tc>
          <w:tcPr>
            <w:tcW w:w="6974" w:type="dxa"/>
            <w:vAlign w:val="center"/>
          </w:tcPr>
          <w:p>
            <w:pPr>
              <w:snapToGrid w:val="0"/>
              <w:spacing w:line="360" w:lineRule="auto"/>
              <w:ind w:left="361" w:hanging="361" w:hangingChars="150"/>
              <w:rPr>
                <w:rFonts w:ascii="宋体" w:hAnsi="宋体" w:cs="宋体"/>
                <w:b/>
                <w:color w:val="auto"/>
                <w:szCs w:val="24"/>
                <w:highlight w:val="none"/>
              </w:rPr>
            </w:pPr>
            <w:r>
              <w:rPr>
                <w:rFonts w:hint="eastAsia" w:ascii="宋体" w:hAnsi="宋体" w:cs="宋体"/>
                <w:b/>
                <w:color w:val="auto"/>
                <w:szCs w:val="24"/>
                <w:highlight w:val="none"/>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3</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磋商有效期</w:t>
            </w:r>
          </w:p>
        </w:tc>
        <w:tc>
          <w:tcPr>
            <w:tcW w:w="6974" w:type="dxa"/>
            <w:vAlign w:val="center"/>
          </w:tcPr>
          <w:p>
            <w:pPr>
              <w:spacing w:line="360" w:lineRule="auto"/>
              <w:rPr>
                <w:rFonts w:ascii="宋体" w:hAnsi="宋体" w:cs="宋体"/>
                <w:color w:val="auto"/>
                <w:szCs w:val="24"/>
                <w:highlight w:val="none"/>
              </w:rPr>
            </w:pPr>
            <w:r>
              <w:rPr>
                <w:rFonts w:hint="eastAsia" w:ascii="宋体" w:hAnsi="宋体" w:cs="宋体"/>
                <w:b/>
                <w:color w:val="auto"/>
                <w:szCs w:val="24"/>
                <w:highlight w:val="none"/>
              </w:rPr>
              <w:t>磋商有效期：</w:t>
            </w:r>
            <w:r>
              <w:rPr>
                <w:rFonts w:hint="eastAsia" w:ascii="宋体" w:hAnsi="宋体" w:cs="宋体"/>
                <w:color w:val="auto"/>
                <w:szCs w:val="24"/>
                <w:highlight w:val="none"/>
              </w:rPr>
              <w:t>磋商截止时间起90天（成交供应商的磋商有效期延续到项目验收之日止）。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5"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4</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响应文件的数量</w:t>
            </w:r>
          </w:p>
        </w:tc>
        <w:tc>
          <w:tcPr>
            <w:tcW w:w="6974"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响应文件</w:t>
            </w:r>
            <w:r>
              <w:rPr>
                <w:rFonts w:hint="eastAsia" w:ascii="宋体" w:hAnsi="宋体" w:cs="宋体"/>
                <w:b/>
                <w:bCs/>
                <w:color w:val="auto"/>
                <w:szCs w:val="24"/>
                <w:highlight w:val="none"/>
              </w:rPr>
              <w:t>正本一份</w:t>
            </w:r>
            <w:r>
              <w:rPr>
                <w:rFonts w:hint="eastAsia" w:ascii="宋体" w:hAnsi="宋体" w:cs="宋体"/>
                <w:color w:val="auto"/>
                <w:szCs w:val="24"/>
                <w:highlight w:val="none"/>
              </w:rPr>
              <w:t>，</w:t>
            </w:r>
            <w:r>
              <w:rPr>
                <w:rFonts w:hint="eastAsia" w:ascii="宋体" w:hAnsi="宋体" w:cs="宋体"/>
                <w:b/>
                <w:bCs/>
                <w:color w:val="auto"/>
                <w:szCs w:val="24"/>
                <w:highlight w:val="none"/>
              </w:rPr>
              <w:t>副本二份</w:t>
            </w:r>
            <w:r>
              <w:rPr>
                <w:rFonts w:hint="eastAsia" w:ascii="宋体" w:hAnsi="宋体" w:cs="宋体"/>
                <w:color w:val="auto"/>
                <w:szCs w:val="24"/>
                <w:highlight w:val="none"/>
              </w:rPr>
              <w:t>，及响应文件</w:t>
            </w:r>
            <w:r>
              <w:rPr>
                <w:rFonts w:hint="eastAsia" w:ascii="宋体" w:hAnsi="宋体" w:cs="宋体"/>
                <w:b/>
                <w:color w:val="auto"/>
                <w:szCs w:val="24"/>
                <w:highlight w:val="none"/>
              </w:rPr>
              <w:t>电子版一份</w:t>
            </w:r>
            <w:r>
              <w:rPr>
                <w:rFonts w:hint="eastAsia" w:ascii="宋体" w:hAnsi="宋体" w:cs="宋体"/>
                <w:color w:val="auto"/>
                <w:szCs w:val="24"/>
                <w:highlight w:val="none"/>
              </w:rPr>
              <w:t>。响应文件没有正本或副本份数不足，及没有电子版响应文件的，其磋商将被作为无效磋商处理。</w:t>
            </w:r>
          </w:p>
          <w:p>
            <w:pPr>
              <w:spacing w:line="360" w:lineRule="auto"/>
              <w:rPr>
                <w:rFonts w:ascii="宋体" w:hAnsi="宋体" w:cs="宋体"/>
                <w:color w:val="auto"/>
                <w:szCs w:val="24"/>
                <w:highlight w:val="none"/>
              </w:rPr>
            </w:pPr>
            <w:r>
              <w:rPr>
                <w:rFonts w:hint="eastAsia" w:ascii="宋体" w:hAnsi="宋体" w:cs="宋体"/>
                <w:color w:val="auto"/>
                <w:szCs w:val="24"/>
                <w:highlight w:val="none"/>
              </w:rPr>
              <w:t>（1）每份响应文件必须分别固定装订成册（不得采用活页形式），并在响应文件封面上清楚地标明“正本”或“副本”字样。</w:t>
            </w:r>
          </w:p>
          <w:p>
            <w:pPr>
              <w:spacing w:line="360" w:lineRule="auto"/>
              <w:rPr>
                <w:rFonts w:ascii="宋体" w:hAnsi="宋体" w:cs="宋体"/>
                <w:color w:val="auto"/>
                <w:szCs w:val="24"/>
                <w:highlight w:val="none"/>
              </w:rPr>
            </w:pPr>
            <w:r>
              <w:rPr>
                <w:rFonts w:hint="eastAsia" w:ascii="宋体" w:hAnsi="宋体" w:cs="宋体"/>
                <w:color w:val="auto"/>
                <w:szCs w:val="24"/>
                <w:highlight w:val="none"/>
              </w:rPr>
              <w:t>（2）若本项目包含多个子包，供应商应以拟磋商的单个子包为单位，分别准备响应文件，每套响应文件对应一个拟磋商的子包，并在每套响应文件的封面清楚地标明所投“包号”。</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（3）电子文件要求光盘或 U 盘介质，不留密码，无病毒，不压缩。除响应文件中提供的图片及相关扫描文件外，其他内容应保留EXCEL 格式或 WORD 格式可编辑文档格式文件，如供应商成交，部分内容将用于结果公告公布，电子响应文件与纸质响应文件内容不同，以盖章的纸质响应文件正本为准。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5</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响应文件的密封与递交</w:t>
            </w:r>
          </w:p>
        </w:tc>
        <w:tc>
          <w:tcPr>
            <w:tcW w:w="6974" w:type="dxa"/>
            <w:vAlign w:val="center"/>
          </w:tcPr>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1. 响应文件密封包类别：</w:t>
            </w:r>
            <w:r>
              <w:rPr>
                <w:rFonts w:hint="eastAsia" w:ascii="宋体" w:hAnsi="宋体" w:cs="宋体"/>
                <w:color w:val="auto"/>
                <w:szCs w:val="24"/>
                <w:highlight w:val="none"/>
                <w:lang w:val="en-GB"/>
              </w:rPr>
              <w:t>至少包含以下</w:t>
            </w:r>
            <w:r>
              <w:rPr>
                <w:rFonts w:hint="eastAsia" w:ascii="宋体" w:hAnsi="宋体" w:cs="宋体"/>
                <w:b/>
                <w:color w:val="auto"/>
                <w:szCs w:val="24"/>
                <w:highlight w:val="none"/>
                <w:lang w:val="en-GB"/>
              </w:rPr>
              <w:t xml:space="preserve"> 2 </w:t>
            </w:r>
            <w:r>
              <w:rPr>
                <w:rFonts w:hint="eastAsia" w:ascii="宋体" w:hAnsi="宋体" w:cs="宋体"/>
                <w:color w:val="auto"/>
                <w:szCs w:val="24"/>
                <w:highlight w:val="none"/>
                <w:lang w:val="en-GB"/>
              </w:rPr>
              <w:t>类独立密封包：</w:t>
            </w:r>
          </w:p>
          <w:p>
            <w:pPr>
              <w:tabs>
                <w:tab w:val="left" w:pos="510"/>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1）响应文件密封包；</w:t>
            </w:r>
          </w:p>
          <w:p>
            <w:pPr>
              <w:tabs>
                <w:tab w:val="left" w:pos="510"/>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2）报价信封密封包。</w:t>
            </w:r>
          </w:p>
          <w:p>
            <w:pPr>
              <w:snapToGrid w:val="0"/>
              <w:spacing w:line="360" w:lineRule="auto"/>
              <w:ind w:left="361" w:hanging="361" w:hangingChars="150"/>
              <w:rPr>
                <w:rFonts w:ascii="宋体" w:hAnsi="宋体" w:cs="宋体"/>
                <w:color w:val="auto"/>
                <w:szCs w:val="24"/>
                <w:highlight w:val="none"/>
              </w:rPr>
            </w:pPr>
            <w:r>
              <w:rPr>
                <w:rFonts w:hint="eastAsia" w:ascii="宋体" w:hAnsi="宋体" w:cs="宋体"/>
                <w:b/>
                <w:color w:val="auto"/>
                <w:szCs w:val="24"/>
                <w:highlight w:val="none"/>
              </w:rPr>
              <w:t>2. 响应文件密封包包含内容：</w:t>
            </w:r>
            <w:r>
              <w:rPr>
                <w:rFonts w:hint="eastAsia" w:ascii="宋体" w:hAnsi="宋体" w:cs="宋体"/>
                <w:color w:val="auto"/>
                <w:szCs w:val="24"/>
                <w:highlight w:val="none"/>
              </w:rPr>
              <w:t>响应文件正本、副本（正本与副本可分开密封，也可全部密封在一包内）；</w:t>
            </w:r>
          </w:p>
          <w:p>
            <w:pPr>
              <w:snapToGrid w:val="0"/>
              <w:spacing w:line="360" w:lineRule="auto"/>
              <w:rPr>
                <w:rFonts w:ascii="宋体" w:hAnsi="宋体" w:cs="宋体"/>
                <w:b/>
                <w:color w:val="auto"/>
                <w:szCs w:val="24"/>
                <w:highlight w:val="none"/>
              </w:rPr>
            </w:pPr>
            <w:r>
              <w:rPr>
                <w:rFonts w:hint="eastAsia" w:ascii="宋体" w:hAnsi="宋体" w:cs="宋体"/>
                <w:b/>
                <w:color w:val="auto"/>
                <w:szCs w:val="24"/>
                <w:highlight w:val="none"/>
              </w:rPr>
              <w:t>3. 报价信封密封包包含内容：</w:t>
            </w:r>
          </w:p>
          <w:p>
            <w:pPr>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1）《报价一览表》原件一份（加盖公章）；（响应文件格式如有）</w:t>
            </w:r>
          </w:p>
          <w:p>
            <w:pPr>
              <w:pStyle w:val="47"/>
              <w:spacing w:line="360" w:lineRule="auto"/>
              <w:rPr>
                <w:rFonts w:ascii="宋体" w:hAnsi="宋体" w:cs="宋体"/>
                <w:color w:val="auto"/>
                <w:szCs w:val="24"/>
                <w:highlight w:val="none"/>
              </w:rPr>
            </w:pPr>
            <w:r>
              <w:rPr>
                <w:rFonts w:hint="eastAsia" w:ascii="宋体" w:hAnsi="宋体" w:cs="宋体"/>
                <w:color w:val="auto"/>
                <w:szCs w:val="24"/>
                <w:highlight w:val="none"/>
              </w:rPr>
              <w:t>2）授权书原件（须加盖公章）；</w:t>
            </w:r>
          </w:p>
          <w:p>
            <w:pPr>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3）电子文档一份。</w:t>
            </w:r>
          </w:p>
          <w:p>
            <w:pPr>
              <w:snapToGrid w:val="0"/>
              <w:spacing w:line="360" w:lineRule="auto"/>
              <w:rPr>
                <w:rFonts w:ascii="宋体" w:hAnsi="宋体" w:cs="宋体"/>
                <w:b/>
                <w:color w:val="auto"/>
                <w:szCs w:val="24"/>
                <w:highlight w:val="none"/>
              </w:rPr>
            </w:pPr>
            <w:r>
              <w:rPr>
                <w:rFonts w:hint="eastAsia" w:ascii="宋体" w:hAnsi="宋体" w:cs="宋体"/>
                <w:b/>
                <w:color w:val="auto"/>
                <w:szCs w:val="24"/>
                <w:highlight w:val="none"/>
              </w:rPr>
              <w:t>注：报价信封须单独密封。</w:t>
            </w:r>
          </w:p>
          <w:p>
            <w:pPr>
              <w:snapToGrid w:val="0"/>
              <w:spacing w:line="360" w:lineRule="auto"/>
              <w:rPr>
                <w:rFonts w:ascii="宋体" w:hAnsi="宋体" w:cs="宋体"/>
                <w:color w:val="auto"/>
                <w:szCs w:val="24"/>
                <w:highlight w:val="none"/>
              </w:rPr>
            </w:pPr>
            <w:r>
              <w:rPr>
                <w:rFonts w:hint="eastAsia" w:ascii="宋体" w:hAnsi="宋体" w:cs="宋体"/>
                <w:b/>
                <w:color w:val="auto"/>
                <w:szCs w:val="24"/>
                <w:highlight w:val="none"/>
              </w:rPr>
              <w:t>4.实物样品是否需要密封：</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Cs w:val="24"/>
                <w:highlight w:val="none"/>
              </w:rPr>
              <w:instrText xml:space="preserve">,√)</w:instrText>
            </w:r>
            <w:r>
              <w:rPr>
                <w:rFonts w:hint="eastAsia" w:ascii="宋体" w:hAnsi="宋体" w:cs="宋体"/>
                <w:color w:val="auto"/>
                <w:szCs w:val="24"/>
                <w:highlight w:val="none"/>
              </w:rPr>
              <w:fldChar w:fldCharType="end"/>
            </w:r>
            <w:r>
              <w:rPr>
                <w:rFonts w:hint="eastAsia" w:ascii="宋体" w:hAnsi="宋体" w:cs="宋体"/>
                <w:color w:val="auto"/>
                <w:szCs w:val="24"/>
                <w:highlight w:val="none"/>
              </w:rPr>
              <w:t xml:space="preserve"> 不需要 □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6</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响应文件签字及</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盖章</w:t>
            </w:r>
          </w:p>
        </w:tc>
        <w:tc>
          <w:tcPr>
            <w:tcW w:w="6974" w:type="dxa"/>
            <w:vAlign w:val="center"/>
          </w:tcPr>
          <w:p>
            <w:pPr>
              <w:numPr>
                <w:ilvl w:val="0"/>
                <w:numId w:val="4"/>
              </w:numPr>
              <w:spacing w:line="360" w:lineRule="auto"/>
              <w:jc w:val="left"/>
              <w:rPr>
                <w:rFonts w:ascii="宋体" w:hAnsi="宋体" w:cs="宋体"/>
                <w:color w:val="auto"/>
                <w:szCs w:val="24"/>
                <w:highlight w:val="none"/>
              </w:rPr>
            </w:pPr>
            <w:r>
              <w:rPr>
                <w:rFonts w:hint="eastAsia" w:ascii="宋体" w:hAnsi="宋体" w:cs="宋体"/>
                <w:color w:val="auto"/>
                <w:szCs w:val="24"/>
                <w:highlight w:val="none"/>
              </w:rPr>
              <w:t>响应文件的正本需打印或用不褪色墨水书写，并在响应文件格式有提示的地方由供应商的法定代表人或经法定代表人正式授权的代表签字及加盖单位公章。</w:t>
            </w:r>
          </w:p>
          <w:p>
            <w:pPr>
              <w:numPr>
                <w:ilvl w:val="0"/>
                <w:numId w:val="4"/>
              </w:numPr>
              <w:spacing w:line="360" w:lineRule="auto"/>
              <w:jc w:val="left"/>
              <w:rPr>
                <w:rFonts w:ascii="宋体" w:hAnsi="宋体" w:cs="宋体"/>
                <w:color w:val="auto"/>
                <w:szCs w:val="24"/>
                <w:highlight w:val="none"/>
              </w:rPr>
            </w:pPr>
            <w:r>
              <w:rPr>
                <w:rFonts w:hint="eastAsia" w:ascii="宋体" w:hAnsi="宋体" w:cs="宋体"/>
                <w:color w:val="auto"/>
                <w:szCs w:val="24"/>
                <w:highlight w:val="none"/>
              </w:rPr>
              <w:t>《响应文件》的【正本】及所有【副本】的封面及骑缝均须加盖供应商法人公章。</w:t>
            </w:r>
          </w:p>
          <w:p>
            <w:pPr>
              <w:numPr>
                <w:ilvl w:val="0"/>
                <w:numId w:val="4"/>
              </w:numPr>
              <w:spacing w:line="360" w:lineRule="auto"/>
              <w:jc w:val="left"/>
              <w:rPr>
                <w:rFonts w:ascii="宋体" w:hAnsi="宋体" w:cs="宋体"/>
                <w:color w:val="auto"/>
                <w:szCs w:val="24"/>
                <w:highlight w:val="none"/>
              </w:rPr>
            </w:pPr>
            <w:r>
              <w:rPr>
                <w:rFonts w:hint="eastAsia" w:ascii="宋体" w:hAnsi="宋体" w:cs="宋体"/>
                <w:color w:val="auto"/>
                <w:szCs w:val="24"/>
                <w:highlight w:val="none"/>
              </w:rPr>
              <w:t>响应文件由法定代表人签字的，须在响应文件中出具“法定代表人资格证明书”原件；响应文件由授权代表签字的，则须在响应文件中出具“法定代表人资格证明书”和“法定代表人授权书”原件。响应文件无法定代表人签字或签字人无法定代表人有效授权的，作为无效磋商处理。</w:t>
            </w:r>
          </w:p>
          <w:p>
            <w:pPr>
              <w:numPr>
                <w:ilvl w:val="0"/>
                <w:numId w:val="4"/>
              </w:numPr>
              <w:spacing w:line="360" w:lineRule="auto"/>
              <w:jc w:val="left"/>
              <w:rPr>
                <w:rFonts w:ascii="宋体" w:hAnsi="宋体" w:cs="宋体"/>
                <w:color w:val="auto"/>
                <w:szCs w:val="24"/>
                <w:highlight w:val="none"/>
              </w:rPr>
            </w:pPr>
            <w:r>
              <w:rPr>
                <w:rFonts w:hint="eastAsia" w:ascii="宋体" w:hAnsi="宋体" w:cs="宋体"/>
                <w:color w:val="auto"/>
                <w:szCs w:val="24"/>
                <w:highlight w:val="none"/>
              </w:rPr>
              <w:t>响应文件的副本可采用签字盖章后的正本的复印件。所有的复印件（包括正本中的响应资料）均应保证清晰可辨，否则不清晰内容的有效性不予被认可。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7</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磋商小组的组成</w:t>
            </w:r>
          </w:p>
        </w:tc>
        <w:tc>
          <w:tcPr>
            <w:tcW w:w="6974" w:type="dxa"/>
            <w:vAlign w:val="center"/>
          </w:tcPr>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磋商小组成员共</w:t>
            </w:r>
            <w:r>
              <w:rPr>
                <w:rFonts w:hint="eastAsia" w:ascii="宋体" w:hAnsi="宋体" w:cs="宋体"/>
                <w:b/>
                <w:color w:val="auto"/>
                <w:szCs w:val="24"/>
                <w:highlight w:val="none"/>
                <w:u w:val="single"/>
              </w:rPr>
              <w:t xml:space="preserve"> 3 </w:t>
            </w:r>
            <w:r>
              <w:rPr>
                <w:rFonts w:hint="eastAsia" w:ascii="宋体" w:hAnsi="宋体" w:cs="宋体"/>
                <w:color w:val="auto"/>
                <w:szCs w:val="24"/>
                <w:highlight w:val="none"/>
              </w:rPr>
              <w:t>人；</w:t>
            </w:r>
            <w:r>
              <w:rPr>
                <w:rFonts w:hint="eastAsia" w:ascii="宋体" w:hAnsi="宋体" w:cs="宋体"/>
                <w:color w:val="auto"/>
                <w:szCs w:val="24"/>
                <w:highlight w:val="none"/>
                <w:lang w:val="en-US" w:eastAsia="zh-CN"/>
              </w:rPr>
              <w:t>共 3 人或以上单数，其中评审专家人数不少于评审小组成员总数的三分之二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8</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评审流程与相关事项</w:t>
            </w:r>
          </w:p>
        </w:tc>
        <w:tc>
          <w:tcPr>
            <w:tcW w:w="6974" w:type="dxa"/>
            <w:vAlign w:val="center"/>
          </w:tcPr>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磋商小组推荐成交候选人的数量：</w:t>
            </w:r>
            <w:r>
              <w:rPr>
                <w:rFonts w:hint="eastAsia" w:ascii="宋体" w:hAnsi="宋体" w:cs="宋体"/>
                <w:b/>
                <w:color w:val="auto"/>
                <w:szCs w:val="24"/>
                <w:highlight w:val="none"/>
                <w:u w:val="single"/>
              </w:rPr>
              <w:t xml:space="preserve"> 3 </w:t>
            </w:r>
            <w:r>
              <w:rPr>
                <w:rFonts w:hint="eastAsia" w:ascii="宋体" w:hAnsi="宋体" w:cs="宋体"/>
                <w:color w:val="auto"/>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9</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成交资格的确定</w:t>
            </w:r>
          </w:p>
        </w:tc>
        <w:tc>
          <w:tcPr>
            <w:tcW w:w="6974" w:type="dxa"/>
            <w:vAlign w:val="center"/>
          </w:tcPr>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zh-CN"/>
              </w:rPr>
              <w:t>成交供应商数量：</w:t>
            </w:r>
            <w:r>
              <w:rPr>
                <w:rFonts w:hint="eastAsia" w:ascii="宋体" w:hAnsi="宋体" w:cs="宋体"/>
                <w:b/>
                <w:color w:val="auto"/>
                <w:szCs w:val="24"/>
                <w:highlight w:val="none"/>
                <w:u w:val="single"/>
              </w:rPr>
              <w:t xml:space="preserve">1 </w:t>
            </w:r>
            <w:r>
              <w:rPr>
                <w:rFonts w:hint="eastAsia" w:ascii="宋体" w:hAnsi="宋体" w:cs="宋体"/>
                <w:color w:val="auto"/>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10</w:t>
            </w:r>
          </w:p>
        </w:tc>
        <w:tc>
          <w:tcPr>
            <w:tcW w:w="238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成交服务费</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lang w:val="en-GB"/>
              </w:rPr>
              <w:t>（招标代理费）</w:t>
            </w:r>
          </w:p>
        </w:tc>
        <w:tc>
          <w:tcPr>
            <w:tcW w:w="6974" w:type="dxa"/>
            <w:vAlign w:val="center"/>
          </w:tcPr>
          <w:p>
            <w:pPr>
              <w:pStyle w:val="11"/>
              <w:numPr>
                <w:ilvl w:val="0"/>
                <w:numId w:val="5"/>
              </w:numPr>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收费标准：参照国家计委颁布的《招标代理服务收费管理暂行办法》（计价格[2002]1980号）及发改价格[2011]534号文中“</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类”招标代理服务费收费标准执行。</w:t>
            </w:r>
          </w:p>
          <w:p>
            <w:pPr>
              <w:pStyle w:val="11"/>
              <w:numPr>
                <w:ilvl w:val="0"/>
                <w:numId w:val="5"/>
              </w:numPr>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计算基数：</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lang w:eastAsia="zh-CN"/>
              </w:rPr>
              <w:t>金额。</w:t>
            </w:r>
          </w:p>
          <w:p>
            <w:pPr>
              <w:pStyle w:val="11"/>
              <w:numPr>
                <w:ilvl w:val="0"/>
                <w:numId w:val="5"/>
              </w:numPr>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计算方法：按差额定率累进法计算。</w:t>
            </w:r>
          </w:p>
          <w:p>
            <w:pPr>
              <w:pStyle w:val="11"/>
              <w:numPr>
                <w:ilvl w:val="0"/>
                <w:numId w:val="5"/>
              </w:numPr>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支付方式：由中标人以银行转账方式一次性支付给采购代理机构。</w:t>
            </w:r>
          </w:p>
          <w:p>
            <w:pPr>
              <w:pStyle w:val="11"/>
              <w:numPr>
                <w:ilvl w:val="0"/>
                <w:numId w:val="5"/>
              </w:numPr>
              <w:ind w:firstLine="0" w:firstLineChars="0"/>
              <w:rPr>
                <w:rFonts w:ascii="宋体" w:hAnsi="宋体" w:cs="宋体"/>
                <w:color w:val="auto"/>
                <w:szCs w:val="24"/>
                <w:highlight w:val="none"/>
              </w:rPr>
            </w:pPr>
            <w:r>
              <w:rPr>
                <w:rFonts w:hint="eastAsia" w:ascii="宋体" w:hAnsi="宋体" w:eastAsia="宋体" w:cs="宋体"/>
                <w:color w:val="auto"/>
                <w:sz w:val="21"/>
                <w:szCs w:val="21"/>
                <w:highlight w:val="none"/>
                <w:lang w:eastAsia="zh-CN"/>
              </w:rPr>
              <w:t>备注说明：中标服务费由中标人支付，中标人在递交投标文件时，即视为已考虑并同意交纳此项费用。中标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kern w:val="0"/>
                <w:sz w:val="21"/>
                <w:szCs w:val="21"/>
                <w:highlight w:val="none"/>
              </w:rPr>
              <w:t>须向采购代理机构交纳</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服务费</w:t>
            </w:r>
            <w:r>
              <w:rPr>
                <w:rFonts w:hint="eastAsia" w:ascii="宋体" w:hAnsi="宋体" w:eastAsia="宋体" w:cs="宋体"/>
                <w:color w:val="auto"/>
                <w:kern w:val="0"/>
                <w:sz w:val="21"/>
                <w:szCs w:val="21"/>
                <w:highlight w:val="none"/>
              </w:rPr>
              <w:t>后，凭领取人身份证复印件并加盖公章领取《</w:t>
            </w:r>
            <w:r>
              <w:rPr>
                <w:rFonts w:hint="eastAsia" w:ascii="宋体" w:hAnsi="宋体" w:eastAsia="宋体" w:cs="宋体"/>
                <w:color w:val="auto"/>
                <w:kern w:val="0"/>
                <w:sz w:val="21"/>
                <w:szCs w:val="21"/>
                <w:highlight w:val="none"/>
                <w:lang w:eastAsia="zh-CN"/>
              </w:rPr>
              <w:t>中标</w:t>
            </w:r>
            <w:r>
              <w:rPr>
                <w:rFonts w:hint="eastAsia" w:ascii="宋体" w:hAnsi="宋体" w:eastAsia="宋体" w:cs="宋体"/>
                <w:color w:val="auto"/>
                <w:kern w:val="0"/>
                <w:sz w:val="21"/>
                <w:szCs w:val="21"/>
                <w:highlight w:val="none"/>
              </w:rPr>
              <w:t>通知书》。如采用电汇或银行转账，须</w:t>
            </w:r>
            <w:r>
              <w:rPr>
                <w:rFonts w:hint="eastAsia" w:ascii="宋体" w:hAnsi="宋体" w:eastAsia="宋体" w:cs="宋体"/>
                <w:color w:val="auto"/>
                <w:sz w:val="21"/>
                <w:szCs w:val="21"/>
                <w:highlight w:val="none"/>
              </w:rPr>
              <w:t>同时递交招标代理服务费缴费凭证复印件并加盖公章。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65" w:type="dxa"/>
            <w:vAlign w:val="center"/>
          </w:tcPr>
          <w:p>
            <w:pPr>
              <w:tabs>
                <w:tab w:val="left" w:pos="18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11</w:t>
            </w:r>
          </w:p>
        </w:tc>
        <w:tc>
          <w:tcPr>
            <w:tcW w:w="2382" w:type="dxa"/>
            <w:vAlign w:val="center"/>
          </w:tcPr>
          <w:p>
            <w:pPr>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验收工作及收费事项说明（</w:t>
            </w:r>
            <w:r>
              <w:rPr>
                <w:rFonts w:hint="eastAsia" w:ascii="宋体" w:hAnsi="宋体" w:cs="宋体"/>
                <w:color w:val="auto"/>
                <w:szCs w:val="24"/>
                <w:highlight w:val="none"/>
              </w:rPr>
              <w:t>如有</w:t>
            </w:r>
            <w:r>
              <w:rPr>
                <w:rFonts w:hint="eastAsia" w:ascii="宋体" w:hAnsi="宋体" w:cs="宋体"/>
                <w:color w:val="auto"/>
                <w:szCs w:val="24"/>
                <w:highlight w:val="none"/>
                <w:lang w:val="en-GB"/>
              </w:rPr>
              <w:t>）</w:t>
            </w:r>
          </w:p>
        </w:tc>
        <w:tc>
          <w:tcPr>
            <w:tcW w:w="6974" w:type="dxa"/>
            <w:vAlign w:val="center"/>
          </w:tcPr>
          <w:p>
            <w:pPr>
              <w:pStyle w:val="11"/>
              <w:ind w:firstLine="0" w:firstLineChars="0"/>
              <w:rPr>
                <w:rFonts w:ascii="宋体" w:hAnsi="宋体" w:cs="宋体"/>
                <w:color w:val="auto"/>
                <w:szCs w:val="24"/>
                <w:highlight w:val="none"/>
              </w:rPr>
            </w:pPr>
            <w:r>
              <w:rPr>
                <w:rFonts w:hint="eastAsia" w:ascii="宋体" w:hAnsi="宋体" w:cs="宋体"/>
                <w:color w:val="auto"/>
                <w:szCs w:val="24"/>
                <w:highlight w:val="none"/>
              </w:rPr>
              <w:t>本项目的验收服务费由中标（成交）供应商支付。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65" w:type="dxa"/>
            <w:vAlign w:val="center"/>
          </w:tcPr>
          <w:p>
            <w:pPr>
              <w:tabs>
                <w:tab w:val="left" w:pos="180"/>
              </w:tabs>
              <w:spacing w:line="360" w:lineRule="auto"/>
              <w:jc w:val="center"/>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val="en-US" w:eastAsia="zh-CN"/>
              </w:rPr>
              <w:t>12</w:t>
            </w:r>
          </w:p>
        </w:tc>
        <w:tc>
          <w:tcPr>
            <w:tcW w:w="2382" w:type="dxa"/>
            <w:vAlign w:val="center"/>
          </w:tcPr>
          <w:p>
            <w:pPr>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其他</w:t>
            </w:r>
          </w:p>
        </w:tc>
        <w:tc>
          <w:tcPr>
            <w:tcW w:w="6974" w:type="dxa"/>
            <w:vAlign w:val="center"/>
          </w:tcPr>
          <w:p>
            <w:pPr>
              <w:pStyle w:val="11"/>
              <w:ind w:firstLine="0"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根据《佛山市政务服务数据管理局 佛山市财政局关于推行政府采购项目“承诺信用制”工作的通知》佛政数〔2023〕2号，供应商在参加全市政府采购活动时，基本资格条件采取“承诺信用制”的，允许供应商提供相关资格信用承诺函（格式见附件</w:t>
            </w:r>
            <w:r>
              <w:rPr>
                <w:rFonts w:hint="eastAsia" w:ascii="宋体" w:hAnsi="宋体" w:cs="宋体"/>
                <w:color w:val="auto"/>
                <w:szCs w:val="24"/>
                <w:highlight w:val="none"/>
                <w:lang w:val="en-US" w:eastAsia="zh-CN"/>
              </w:rPr>
              <w:t>一</w:t>
            </w:r>
            <w:r>
              <w:rPr>
                <w:rFonts w:hint="eastAsia" w:ascii="宋体" w:hAnsi="宋体" w:cs="宋体"/>
                <w:color w:val="auto"/>
                <w:szCs w:val="24"/>
                <w:highlight w:val="none"/>
              </w:rPr>
              <w:t>），在投标（响应）文件中无需提供财务状况报告、依法缴纳税收和社会保障资金、没有重大违法记录等证明材料。如供应商提供《政府采购供应商资格信用承诺函》的，须附在投标文件</w:t>
            </w:r>
            <w:r>
              <w:rPr>
                <w:rFonts w:hint="eastAsia" w:ascii="宋体" w:hAnsi="宋体" w:cs="宋体"/>
                <w:color w:val="auto"/>
                <w:szCs w:val="24"/>
                <w:highlight w:val="none"/>
                <w:lang w:val="en-US" w:eastAsia="zh-CN"/>
              </w:rPr>
              <w:t>2.3</w:t>
            </w:r>
            <w:r>
              <w:rPr>
                <w:rFonts w:hint="eastAsia" w:ascii="宋体" w:hAnsi="宋体" w:cs="宋体"/>
                <w:color w:val="auto"/>
                <w:sz w:val="24"/>
                <w:szCs w:val="24"/>
                <w:highlight w:val="none"/>
              </w:rPr>
              <w:t>供应商认为须要提供的材料（可选）</w:t>
            </w:r>
            <w:r>
              <w:rPr>
                <w:rFonts w:hint="eastAsia" w:ascii="宋体" w:hAnsi="宋体" w:cs="宋体"/>
                <w:color w:val="auto"/>
                <w:szCs w:val="24"/>
                <w:highlight w:val="none"/>
              </w:rPr>
              <w:t>。</w:t>
            </w:r>
          </w:p>
          <w:p>
            <w:pPr>
              <w:pStyle w:val="11"/>
              <w:ind w:firstLine="0"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参与政府采购的中小微企业可凭借中标（成交）通知书或政府采购合同，利用“省中小融”、“粤信融”、“中征应收账款融资服务平台”等平台向金融机构申请融资，获得无财产抵押贷款。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321" w:type="dxa"/>
            <w:gridSpan w:val="3"/>
            <w:vAlign w:val="center"/>
          </w:tcPr>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注：《磋商邀请函》、《供应商须知前附表》与《供应商须知正文》互为补充、互为说明，若有不一致的，优先以《磋商邀请函》为准，其次以《供应商须知前附表》为准。</w:t>
            </w:r>
          </w:p>
        </w:tc>
      </w:tr>
    </w:tbl>
    <w:p>
      <w:pPr>
        <w:spacing w:line="360" w:lineRule="auto"/>
        <w:rPr>
          <w:rFonts w:ascii="宋体" w:hAnsi="宋体" w:cs="宋体"/>
          <w:color w:val="auto"/>
          <w:szCs w:val="24"/>
          <w:highlight w:val="none"/>
        </w:rPr>
      </w:pPr>
    </w:p>
    <w:p>
      <w:pPr>
        <w:rPr>
          <w:rFonts w:hint="eastAsia" w:ascii="宋体" w:hAnsi="宋体" w:cs="宋体"/>
          <w:b/>
          <w:color w:val="auto"/>
          <w:szCs w:val="24"/>
          <w:highlight w:val="none"/>
        </w:rPr>
      </w:pPr>
      <w:r>
        <w:rPr>
          <w:rFonts w:hint="eastAsia" w:ascii="宋体" w:hAnsi="宋体" w:cs="宋体"/>
          <w:b/>
          <w:color w:val="auto"/>
          <w:szCs w:val="24"/>
          <w:highlight w:val="none"/>
        </w:rPr>
        <w:br w:type="page"/>
      </w:r>
    </w:p>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供应商须知正文</w:t>
      </w:r>
    </w:p>
    <w:p>
      <w:pPr>
        <w:spacing w:line="360" w:lineRule="auto"/>
        <w:rPr>
          <w:rFonts w:ascii="宋体" w:hAnsi="宋体" w:cs="宋体"/>
          <w:color w:val="auto"/>
          <w:szCs w:val="24"/>
          <w:highlight w:val="none"/>
        </w:rPr>
      </w:pPr>
    </w:p>
    <w:p>
      <w:pPr>
        <w:pStyle w:val="6"/>
        <w:spacing w:line="360" w:lineRule="auto"/>
        <w:jc w:val="center"/>
        <w:rPr>
          <w:rFonts w:ascii="宋体" w:hAnsi="宋体" w:cs="宋体"/>
          <w:color w:val="auto"/>
          <w:sz w:val="24"/>
          <w:szCs w:val="24"/>
          <w:highlight w:val="none"/>
        </w:rPr>
      </w:pPr>
      <w:bookmarkStart w:id="17" w:name="_Toc22013"/>
      <w:r>
        <w:rPr>
          <w:rFonts w:hint="eastAsia" w:ascii="宋体" w:hAnsi="宋体" w:cs="宋体"/>
          <w:color w:val="auto"/>
          <w:sz w:val="24"/>
          <w:szCs w:val="24"/>
          <w:highlight w:val="none"/>
        </w:rPr>
        <w:t>一、概念释义</w:t>
      </w:r>
      <w:bookmarkEnd w:id="17"/>
    </w:p>
    <w:p>
      <w:pPr>
        <w:numPr>
          <w:ilvl w:val="0"/>
          <w:numId w:val="6"/>
        </w:numPr>
        <w:snapToGrid w:val="0"/>
        <w:spacing w:line="360" w:lineRule="auto"/>
        <w:rPr>
          <w:rFonts w:ascii="宋体" w:hAnsi="宋体" w:cs="宋体"/>
          <w:b/>
          <w:color w:val="auto"/>
          <w:szCs w:val="24"/>
          <w:highlight w:val="none"/>
          <w:lang w:val="en-GB"/>
        </w:rPr>
      </w:pPr>
      <w:bookmarkStart w:id="18" w:name="_Toc119321123"/>
      <w:bookmarkStart w:id="19" w:name="_Toc136682888"/>
      <w:bookmarkStart w:id="20" w:name="_Toc276220255"/>
      <w:bookmarkStart w:id="21" w:name="_Toc136662912"/>
      <w:bookmarkStart w:id="22" w:name="_Toc332090766"/>
      <w:bookmarkStart w:id="23" w:name="_Toc528736178"/>
      <w:bookmarkStart w:id="24" w:name="_Toc275954883"/>
      <w:r>
        <w:rPr>
          <w:rFonts w:hint="eastAsia" w:ascii="宋体" w:hAnsi="宋体" w:cs="宋体"/>
          <w:b/>
          <w:color w:val="auto"/>
          <w:szCs w:val="24"/>
          <w:highlight w:val="none"/>
          <w:lang w:val="en-GB"/>
        </w:rPr>
        <w:t>适用法律</w:t>
      </w:r>
      <w:bookmarkEnd w:id="18"/>
      <w:bookmarkEnd w:id="19"/>
      <w:bookmarkEnd w:id="20"/>
      <w:bookmarkEnd w:id="21"/>
      <w:bookmarkEnd w:id="22"/>
      <w:bookmarkEnd w:id="23"/>
      <w:bookmarkEnd w:id="24"/>
    </w:p>
    <w:p>
      <w:pPr>
        <w:pStyle w:val="11"/>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本次采购参照的主要法律法规为《中华人民共和国政府采购法》、《政府采购竞争性磋商采购方式管理暂行办法》及政府采购其它相关法规。</w:t>
      </w:r>
    </w:p>
    <w:p>
      <w:pPr>
        <w:numPr>
          <w:ilvl w:val="0"/>
          <w:numId w:val="6"/>
        </w:numPr>
        <w:snapToGrid w:val="0"/>
        <w:spacing w:line="360" w:lineRule="auto"/>
        <w:rPr>
          <w:rFonts w:ascii="宋体" w:hAnsi="宋体" w:cs="宋体"/>
          <w:b/>
          <w:color w:val="auto"/>
          <w:szCs w:val="24"/>
          <w:highlight w:val="none"/>
          <w:lang w:val="en-GB"/>
        </w:rPr>
      </w:pPr>
      <w:bookmarkStart w:id="25" w:name="_Toc136682889"/>
      <w:bookmarkStart w:id="26" w:name="_Toc528736179"/>
      <w:bookmarkStart w:id="27" w:name="_Toc275954884"/>
      <w:bookmarkStart w:id="28" w:name="_Toc119321124"/>
      <w:bookmarkStart w:id="29" w:name="_Toc332090767"/>
      <w:bookmarkStart w:id="30" w:name="_Toc276220256"/>
      <w:bookmarkStart w:id="31" w:name="_Toc136662913"/>
      <w:r>
        <w:rPr>
          <w:rFonts w:hint="eastAsia" w:ascii="宋体" w:hAnsi="宋体" w:cs="宋体"/>
          <w:b/>
          <w:color w:val="auto"/>
          <w:szCs w:val="24"/>
          <w:highlight w:val="none"/>
          <w:lang w:val="en-GB"/>
        </w:rPr>
        <w:t>释义</w:t>
      </w:r>
      <w:bookmarkEnd w:id="25"/>
      <w:bookmarkEnd w:id="26"/>
      <w:bookmarkEnd w:id="27"/>
      <w:bookmarkEnd w:id="28"/>
      <w:bookmarkEnd w:id="29"/>
      <w:bookmarkEnd w:id="30"/>
      <w:bookmarkEnd w:id="31"/>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采购人</w:t>
      </w:r>
      <w:r>
        <w:rPr>
          <w:rFonts w:hint="eastAsia" w:ascii="宋体" w:hAnsi="宋体" w:cs="宋体"/>
          <w:color w:val="auto"/>
          <w:szCs w:val="24"/>
          <w:highlight w:val="none"/>
          <w:lang w:val="en-GB"/>
        </w:rPr>
        <w:t>：是指</w:t>
      </w:r>
      <w:r>
        <w:rPr>
          <w:rFonts w:hint="eastAsia" w:ascii="宋体" w:hAnsi="宋体" w:cs="宋体"/>
          <w:b/>
          <w:color w:val="auto"/>
          <w:szCs w:val="24"/>
          <w:highlight w:val="none"/>
          <w:u w:val="single"/>
          <w:lang w:eastAsia="zh-CN"/>
        </w:rPr>
        <w:t>佛山市公安局禅城分局</w:t>
      </w:r>
      <w:r>
        <w:rPr>
          <w:rFonts w:hint="eastAsia" w:ascii="宋体" w:hAnsi="宋体" w:cs="宋体"/>
          <w:color w:val="auto"/>
          <w:szCs w:val="24"/>
          <w:highlight w:val="none"/>
          <w:lang w:val="en-GB"/>
        </w:rPr>
        <w:t>，负责项目的整体规划、技术方案可行性设计论证与实施，作为合同采购方(用户)的主体承担质疑回复、履行合同义务、验收与评价等义务。</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监管部门</w:t>
      </w:r>
      <w:r>
        <w:rPr>
          <w:rFonts w:hint="eastAsia" w:ascii="宋体" w:hAnsi="宋体" w:cs="宋体"/>
          <w:color w:val="auto"/>
          <w:szCs w:val="24"/>
          <w:highlight w:val="none"/>
          <w:lang w:val="en-GB"/>
        </w:rPr>
        <w:t>：是指政府采购管理部门。</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采购代理机构</w:t>
      </w:r>
      <w:r>
        <w:rPr>
          <w:rFonts w:hint="eastAsia" w:ascii="宋体" w:hAnsi="宋体" w:cs="宋体"/>
          <w:color w:val="auto"/>
          <w:szCs w:val="24"/>
          <w:highlight w:val="none"/>
          <w:lang w:val="en-GB"/>
        </w:rPr>
        <w:t>：是指</w:t>
      </w:r>
      <w:r>
        <w:rPr>
          <w:rFonts w:hint="eastAsia" w:ascii="宋体" w:hAnsi="宋体" w:cs="宋体"/>
          <w:b/>
          <w:color w:val="auto"/>
          <w:szCs w:val="24"/>
          <w:highlight w:val="none"/>
          <w:u w:val="single"/>
          <w:lang w:val="en-GB"/>
        </w:rPr>
        <w:t>华睿诚项目管理有限公司</w:t>
      </w:r>
      <w:r>
        <w:rPr>
          <w:rFonts w:hint="eastAsia" w:ascii="宋体" w:hAnsi="宋体" w:cs="宋体"/>
          <w:color w:val="auto"/>
          <w:szCs w:val="24"/>
          <w:highlight w:val="none"/>
          <w:lang w:val="en-GB"/>
        </w:rPr>
        <w:t>，是整个采购活动的组织者，依法负责编制和发布磋商文件，对磋商文件拥有最终的解释权。</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采购单位</w:t>
      </w:r>
      <w:r>
        <w:rPr>
          <w:rFonts w:hint="eastAsia" w:ascii="宋体" w:hAnsi="宋体" w:cs="宋体"/>
          <w:color w:val="auto"/>
          <w:szCs w:val="24"/>
          <w:highlight w:val="none"/>
          <w:lang w:val="en-GB"/>
        </w:rPr>
        <w:t>：是指采购人、采购代理机构。</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以上</w:t>
      </w:r>
      <w:r>
        <w:rPr>
          <w:rFonts w:hint="eastAsia" w:ascii="宋体" w:hAnsi="宋体" w:cs="宋体"/>
          <w:color w:val="auto"/>
          <w:szCs w:val="24"/>
          <w:highlight w:val="none"/>
          <w:lang w:val="en-GB"/>
        </w:rPr>
        <w:t>：是指包括本数。（有特别说明除外）</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以下</w:t>
      </w:r>
      <w:r>
        <w:rPr>
          <w:rFonts w:hint="eastAsia" w:ascii="宋体" w:hAnsi="宋体" w:cs="宋体"/>
          <w:color w:val="auto"/>
          <w:szCs w:val="24"/>
          <w:highlight w:val="none"/>
          <w:lang w:val="en-GB"/>
        </w:rPr>
        <w:t>：是指不包括本数。（有特别说明除外）</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合格的供应商</w:t>
      </w:r>
      <w:r>
        <w:rPr>
          <w:rFonts w:hint="eastAsia" w:ascii="宋体" w:hAnsi="宋体" w:cs="宋体"/>
          <w:color w:val="auto"/>
          <w:szCs w:val="24"/>
          <w:highlight w:val="none"/>
          <w:lang w:val="en-GB"/>
        </w:rPr>
        <w:t>：</w:t>
      </w:r>
    </w:p>
    <w:p>
      <w:pPr>
        <w:numPr>
          <w:ilvl w:val="1"/>
          <w:numId w:val="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符合</w:t>
      </w:r>
      <w:r>
        <w:rPr>
          <w:rFonts w:hint="eastAsia" w:ascii="宋体" w:hAnsi="宋体" w:cs="宋体"/>
          <w:color w:val="auto"/>
          <w:szCs w:val="24"/>
          <w:highlight w:val="none"/>
          <w:lang w:val="hr-HR"/>
        </w:rPr>
        <w:t>《中华人民共和国政府采购法》第二十二条规定的条件</w:t>
      </w:r>
      <w:r>
        <w:rPr>
          <w:rFonts w:hint="eastAsia" w:ascii="宋体" w:hAnsi="宋体" w:cs="宋体"/>
          <w:color w:val="auto"/>
          <w:szCs w:val="24"/>
          <w:highlight w:val="none"/>
          <w:lang w:val="en-GB"/>
        </w:rPr>
        <w:t>及《中华人民共和国政府采购法实施条例》第十七条的要求。</w:t>
      </w:r>
    </w:p>
    <w:p>
      <w:pPr>
        <w:numPr>
          <w:ilvl w:val="1"/>
          <w:numId w:val="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符合磋商文件规定的“供应商资格”要求及其他特殊条件要求。</w:t>
      </w:r>
    </w:p>
    <w:p>
      <w:pPr>
        <w:numPr>
          <w:ilvl w:val="1"/>
          <w:numId w:val="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根据《中华人民共和国政府采购法》第二十二条的要求，供应商参加政府采购活动应当具备下列条件：①</w:t>
      </w:r>
      <w:r>
        <w:rPr>
          <w:color w:val="auto"/>
          <w:highlight w:val="none"/>
        </w:rPr>
        <w:t>具有独立承担民事责任的能力：在中华人民共和国境内注册的法人或其他组织或自然人， 投标（响应）时提交有效的营业执照（或事业法人登记证或身份证等相关证明）副本复印件</w:t>
      </w:r>
      <w:r>
        <w:rPr>
          <w:rFonts w:hint="eastAsia" w:ascii="宋体" w:hAnsi="宋体" w:cs="宋体"/>
          <w:color w:val="auto"/>
          <w:szCs w:val="24"/>
          <w:highlight w:val="none"/>
          <w:lang w:val="en-GB"/>
        </w:rPr>
        <w:t>；②</w:t>
      </w:r>
      <w:r>
        <w:rPr>
          <w:color w:val="auto"/>
          <w:highlight w:val="none"/>
        </w:rPr>
        <w:t>有依法缴纳税收和社会保障资金的良好记录：提供投标截止日前6个月内任意1个月依法缴纳税收和社会保障资金的相关材料</w:t>
      </w:r>
      <w:r>
        <w:rPr>
          <w:rFonts w:hint="eastAsia"/>
          <w:color w:val="auto"/>
          <w:highlight w:val="none"/>
          <w:lang w:val="en-US" w:eastAsia="zh-CN"/>
        </w:rPr>
        <w:t>或提供《政府采购供应商资格信用承诺函》</w:t>
      </w:r>
      <w:r>
        <w:rPr>
          <w:color w:val="auto"/>
          <w:highlight w:val="none"/>
        </w:rPr>
        <w:t>。 如依法免税或不需要缴纳社会保障资金的，提供相应证明材料</w:t>
      </w:r>
      <w:r>
        <w:rPr>
          <w:rFonts w:hint="eastAsia" w:ascii="宋体" w:hAnsi="宋体" w:cs="宋体"/>
          <w:color w:val="auto"/>
          <w:szCs w:val="24"/>
          <w:highlight w:val="none"/>
          <w:lang w:val="en-GB"/>
        </w:rPr>
        <w:t>；③</w:t>
      </w:r>
      <w:r>
        <w:rPr>
          <w:color w:val="auto"/>
          <w:highlight w:val="none"/>
        </w:rPr>
        <w:t>具有良好的商业信誉和健全的财务会计制度：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rPr>
        <w:t>（提供下列材料复印件之一即可）</w:t>
      </w:r>
      <w:r>
        <w:rPr>
          <w:rFonts w:hint="eastAsia"/>
          <w:color w:val="auto"/>
          <w:highlight w:val="none"/>
          <w:lang w:eastAsia="zh-CN"/>
        </w:rPr>
        <w:t>1）经审计的2021 年度或2022年任意一季度的财务报告（要求：提供由第三方会计师事务所或审计机构出具的审计报告，能清晰显示第三方会计师事务所或审计机构的印章，并能反映审计结论。）。2）基本开户银行出具的资信证明和开户证明材料（要求： ①资信证明内容应能够清晰准确反映供应商最近6 个月内任意一个月（从本项目采购公告发布之日起，往前倒推计算）的商业信誉情况和满足</w:t>
      </w:r>
      <w:r>
        <w:rPr>
          <w:rFonts w:hint="eastAsia"/>
          <w:color w:val="auto"/>
          <w:highlight w:val="none"/>
          <w:lang w:val="en-US" w:eastAsia="zh-CN"/>
        </w:rPr>
        <w:t>竞争性磋商</w:t>
      </w:r>
      <w:r>
        <w:rPr>
          <w:rFonts w:hint="eastAsia"/>
          <w:color w:val="auto"/>
          <w:highlight w:val="none"/>
          <w:lang w:eastAsia="zh-CN"/>
        </w:rPr>
        <w:t>文件有关要求。如成立时间不足</w:t>
      </w:r>
      <w:r>
        <w:rPr>
          <w:rFonts w:hint="eastAsia"/>
          <w:color w:val="auto"/>
          <w:highlight w:val="none"/>
          <w:lang w:val="en-US" w:eastAsia="zh-CN"/>
        </w:rPr>
        <w:t>1</w:t>
      </w:r>
      <w:r>
        <w:rPr>
          <w:rFonts w:hint="eastAsia"/>
          <w:color w:val="auto"/>
          <w:highlight w:val="none"/>
          <w:lang w:eastAsia="zh-CN"/>
        </w:rPr>
        <w:t>个月的，按其开立基本存款账户开户时间提供。②资信证明的落款单位名称必须与开户（基本户）的开户银行名称一致。③资信证明书格式有抬头的，可以写本项目的采购人或代理机构单位全称。④开户（基本户）许可证已取消的，应提供能体现基本开户银行的“基本存款账户信息”的相关证明。）。3）财政部门认可的政府采购专业担保机构出具的投标担保函。</w:t>
      </w:r>
      <w:r>
        <w:rPr>
          <w:rFonts w:hint="eastAsia"/>
          <w:color w:val="auto"/>
          <w:highlight w:val="none"/>
          <w:lang w:val="en-US" w:eastAsia="zh-CN"/>
        </w:rPr>
        <w:t>4）提供《政府采购供应商资格信用承诺函》</w:t>
      </w:r>
      <w:r>
        <w:rPr>
          <w:rFonts w:hint="eastAsia" w:ascii="宋体" w:hAnsi="宋体" w:cs="宋体"/>
          <w:color w:val="auto"/>
          <w:szCs w:val="24"/>
          <w:highlight w:val="none"/>
          <w:lang w:val="en-GB"/>
        </w:rPr>
        <w:t>；④</w:t>
      </w:r>
      <w:r>
        <w:rPr>
          <w:color w:val="auto"/>
          <w:highlight w:val="none"/>
        </w:rPr>
        <w:t>履行合同所必需的设备和专业技术能力：按投标（响应）文件格式填报设备及专业技术能力情况</w:t>
      </w:r>
      <w:r>
        <w:rPr>
          <w:rFonts w:hint="eastAsia" w:ascii="宋体" w:hAnsi="宋体" w:cs="宋体"/>
          <w:color w:val="auto"/>
          <w:szCs w:val="24"/>
          <w:highlight w:val="none"/>
          <w:lang w:val="en-GB"/>
        </w:rPr>
        <w:t>；⑤参加采购活动前3年内，在经营活动中没有重大违法记录：参照投标（报价）函相关承诺格式内容或提供《政府采购供应商资格信用承诺函》。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⑥法律、行政法规规定的其他条件。</w:t>
      </w:r>
    </w:p>
    <w:p>
      <w:pPr>
        <w:numPr>
          <w:ilvl w:val="1"/>
          <w:numId w:val="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重大违法记录，是指供应商因违法经营受到刑事处罚或者责令停产停业、吊销许可证或者执照、较大数额罚款等行政处罚。提供（书面声明函，较大数额罚款认定为200万元以上的罚款，法律、行政法规以及国务院有关部门明确规定相关领域“较大数额罚款”标准高于200万元的，从其规定）。</w:t>
      </w:r>
    </w:p>
    <w:p>
      <w:pPr>
        <w:numPr>
          <w:ilvl w:val="1"/>
          <w:numId w:val="8"/>
        </w:numPr>
        <w:tabs>
          <w:tab w:val="clear" w:pos="510"/>
        </w:tabs>
        <w:spacing w:line="360" w:lineRule="auto"/>
        <w:ind w:left="470" w:hanging="470"/>
        <w:rPr>
          <w:rFonts w:ascii="宋体" w:hAnsi="宋体" w:cs="宋体"/>
          <w:color w:val="auto"/>
          <w:szCs w:val="24"/>
          <w:highlight w:val="none"/>
          <w:lang w:val="en-GB"/>
        </w:rPr>
      </w:pPr>
      <w:r>
        <w:rPr>
          <w:rFonts w:hint="eastAsia" w:ascii="宋体" w:hAnsi="宋体" w:cs="宋体"/>
          <w:color w:val="auto"/>
          <w:szCs w:val="24"/>
          <w:highlight w:val="none"/>
          <w:lang w:val="en-GB"/>
        </w:rPr>
        <w:t>根据佛山市中级人民法院《启用执行联动机制决定书》和《协助执行通知书》的要求，供应商若为名单上的失信被执行人，限制其从事政府采购业务。按照《财政部关于在政府采购活动中查询及使用信用记录有关问题的通知》（财库2016]125 号）的要求，5）根据信用中国网站、中国政府采购网查询信息，对被列入“信用中国”网站(www.creditchina.gov.cn)“记录失信被执行人或税收违法黑名单（即原“重大税收违法案件当事人名单”）”记录名单；处于中国政府采购网(www.ccgp.gov.cn)“政府采购严重违法失信行为信息记录”中的禁止参加政府采购活动期间及其他不符合《中华人民共和国政府采购法》第二十二条规定条件的供应商，拒绝其参与政府采购活动。联合体成员存在不良信用记录的，视同联合体存在不良信用记录。</w:t>
      </w:r>
    </w:p>
    <w:p>
      <w:pPr>
        <w:numPr>
          <w:ilvl w:val="1"/>
          <w:numId w:val="8"/>
        </w:numPr>
        <w:tabs>
          <w:tab w:val="clear" w:pos="510"/>
        </w:tabs>
        <w:spacing w:line="360" w:lineRule="auto"/>
        <w:ind w:left="470" w:hanging="470"/>
        <w:rPr>
          <w:rFonts w:ascii="宋体" w:hAnsi="宋体" w:cs="宋体"/>
          <w:color w:val="auto"/>
          <w:szCs w:val="24"/>
          <w:highlight w:val="none"/>
          <w:lang w:val="en-GB"/>
        </w:rPr>
      </w:pPr>
      <w:r>
        <w:rPr>
          <w:rFonts w:hint="eastAsia" w:ascii="宋体" w:hAnsi="宋体" w:cs="宋体"/>
          <w:color w:val="auto"/>
          <w:szCs w:val="24"/>
          <w:highlight w:val="none"/>
          <w:lang w:val="en-GB"/>
        </w:rPr>
        <w:t>供应商在参加政府采购活动前 3 年内因违法经营被禁止在一定期限内参加政府采购活动，期限届满的，可以参加政府采购活动。按竞争性磋商公告或磋商邀请函的要求报名及获取本项目磋商文件。</w:t>
      </w:r>
    </w:p>
    <w:p>
      <w:pPr>
        <w:numPr>
          <w:ilvl w:val="1"/>
          <w:numId w:val="8"/>
        </w:numPr>
        <w:tabs>
          <w:tab w:val="clear" w:pos="510"/>
        </w:tabs>
        <w:spacing w:line="360" w:lineRule="auto"/>
        <w:ind w:left="470" w:hanging="470"/>
        <w:rPr>
          <w:rFonts w:ascii="宋体" w:hAnsi="宋体" w:cs="宋体"/>
          <w:color w:val="auto"/>
          <w:szCs w:val="24"/>
          <w:highlight w:val="none"/>
          <w:lang w:val="en-GB"/>
        </w:rPr>
      </w:pPr>
      <w:r>
        <w:rPr>
          <w:rFonts w:hint="eastAsia" w:ascii="宋体" w:hAnsi="宋体" w:cs="宋体"/>
          <w:color w:val="auto"/>
          <w:szCs w:val="24"/>
          <w:highlight w:val="none"/>
          <w:lang w:val="en-GB"/>
        </w:rPr>
        <w:t>说明：供应商按规定获取了本磋商文件并非意味着满足了合格、有效供应商的基本条件，一切均以磋商小组评定确认的结果为准。</w:t>
      </w:r>
    </w:p>
    <w:p>
      <w:pPr>
        <w:numPr>
          <w:ilvl w:val="1"/>
          <w:numId w:val="8"/>
        </w:numPr>
        <w:tabs>
          <w:tab w:val="left" w:pos="540"/>
        </w:tabs>
        <w:spacing w:line="360" w:lineRule="auto"/>
        <w:rPr>
          <w:rFonts w:ascii="宋体" w:hAnsi="宋体" w:cs="宋体"/>
          <w:color w:val="auto"/>
          <w:szCs w:val="24"/>
          <w:highlight w:val="none"/>
          <w:lang w:val="en-GB"/>
        </w:rPr>
      </w:pPr>
      <w:r>
        <w:rPr>
          <w:rFonts w:hint="eastAsia" w:ascii="宋体" w:hAnsi="宋体" w:cs="宋体"/>
          <w:b/>
          <w:bCs/>
          <w:color w:val="auto"/>
          <w:szCs w:val="24"/>
          <w:highlight w:val="none"/>
          <w:lang w:val="en-GB"/>
        </w:rPr>
        <w:t>成交供应商：</w:t>
      </w:r>
      <w:r>
        <w:rPr>
          <w:rFonts w:hint="eastAsia" w:ascii="宋体" w:hAnsi="宋体" w:cs="宋体"/>
          <w:color w:val="auto"/>
          <w:szCs w:val="24"/>
          <w:highlight w:val="none"/>
          <w:lang w:val="en-GB"/>
        </w:rPr>
        <w:t>是指经法定程序确定并授予合同的供应商。</w:t>
      </w:r>
    </w:p>
    <w:p>
      <w:pPr>
        <w:numPr>
          <w:ilvl w:val="0"/>
          <w:numId w:val="7"/>
        </w:numPr>
        <w:tabs>
          <w:tab w:val="left" w:pos="42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实质性响应</w:t>
      </w:r>
      <w:r>
        <w:rPr>
          <w:rFonts w:hint="eastAsia" w:ascii="宋体" w:hAnsi="宋体" w:cs="宋体"/>
          <w:color w:val="auto"/>
          <w:szCs w:val="24"/>
          <w:highlight w:val="none"/>
          <w:lang w:val="en-GB"/>
        </w:rPr>
        <w:t>：是指符合磋商文件的所有要求、条款、条件和规定，且没有不利于项目实施质量效果和服务保障的重大偏离。磋商文件中标注“★”号的条款（如有）为不可负偏离（劣于）的重要要求，在投标响应时须完全响应，若其中一项出现负偏离时将作无效投标/响应处理。</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重大偏离</w:t>
      </w:r>
      <w:r>
        <w:rPr>
          <w:rFonts w:hint="eastAsia" w:ascii="宋体" w:hAnsi="宋体" w:cs="宋体"/>
          <w:color w:val="auto"/>
          <w:szCs w:val="24"/>
          <w:highlight w:val="none"/>
          <w:lang w:val="en-GB"/>
        </w:rPr>
        <w:t>：是指影响到磋商文件规定的范围、质量和性能或限制了采购人的权力和供应商义务的规定，而调整纠正这些偏离将直接影响到其它供应商的公平竞争地位。</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中小企业：</w:t>
      </w:r>
      <w:r>
        <w:rPr>
          <w:rFonts w:hint="eastAsia" w:ascii="宋体" w:hAnsi="宋体" w:cs="宋体"/>
          <w:color w:val="auto"/>
          <w:szCs w:val="24"/>
          <w:highlight w:val="none"/>
          <w:lang w:val="en-GB"/>
        </w:rPr>
        <w:t>依据《政府采购促进中小企业发展管理办法》（财库〔2020〕46号），包含中型、小型、微型企业，具体标准依据工信部联企业〔2011〕300号文件进行划分。</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日期、天数、时间：未有特别说明时，均为公历日（天）及北京时间。</w:t>
      </w:r>
    </w:p>
    <w:p>
      <w:pPr>
        <w:numPr>
          <w:ilvl w:val="0"/>
          <w:numId w:val="7"/>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计息期</w:t>
      </w:r>
      <w:r>
        <w:rPr>
          <w:rFonts w:hint="eastAsia" w:ascii="宋体" w:hAnsi="宋体" w:cs="宋体"/>
          <w:color w:val="auto"/>
          <w:szCs w:val="24"/>
          <w:highlight w:val="none"/>
          <w:lang w:val="en-GB"/>
        </w:rPr>
        <w:t>：项目周期内均不计息。（有特别说明除外）</w:t>
      </w:r>
    </w:p>
    <w:p>
      <w:pPr>
        <w:numPr>
          <w:ilvl w:val="0"/>
          <w:numId w:val="6"/>
        </w:numPr>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同义词语</w:t>
      </w:r>
    </w:p>
    <w:p>
      <w:pPr>
        <w:snapToGrid w:val="0"/>
        <w:spacing w:line="360" w:lineRule="auto"/>
        <w:ind w:left="510"/>
        <w:rPr>
          <w:rFonts w:ascii="宋体" w:hAnsi="宋体" w:cs="宋体"/>
          <w:b/>
          <w:color w:val="auto"/>
          <w:szCs w:val="24"/>
          <w:highlight w:val="none"/>
          <w:lang w:val="en-GB"/>
        </w:rPr>
      </w:pPr>
      <w:r>
        <w:rPr>
          <w:rFonts w:hint="eastAsia" w:ascii="宋体" w:hAnsi="宋体" w:cs="宋体"/>
          <w:color w:val="auto"/>
          <w:szCs w:val="24"/>
          <w:highlight w:val="none"/>
          <w:lang w:val="en-GB"/>
        </w:rPr>
        <w:t>以下词语应按相同定义进行理解：</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“磋商文件”、“竞争性磋商文件”与“采购文件”；</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“投标文件”与“响应文件”、“磋商响应文件”；</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招标阶段的“招标人”、“采购人”、“招标单位”、“采购单位”及合同签订阶段的“甲方”、“买方”、“发包人”；</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招标阶段的“投标人”、“供应商”及合同签订阶段的“乙方”、“卖方”、“承包人”；</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招标阶段的“成交供应商”、“成交供应商”、“成交人”、“供应商”及合同签订阶段的“乙方”、“卖方”、“承包人”；</w:t>
      </w:r>
    </w:p>
    <w:p>
      <w:pPr>
        <w:numPr>
          <w:ilvl w:val="0"/>
          <w:numId w:val="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“磋商小组”与“竞争性磋商小组”。</w:t>
      </w:r>
    </w:p>
    <w:p>
      <w:pPr>
        <w:spacing w:line="360" w:lineRule="auto"/>
        <w:rPr>
          <w:rFonts w:ascii="宋体" w:hAnsi="宋体" w:cs="宋体"/>
          <w:color w:val="auto"/>
          <w:szCs w:val="24"/>
          <w:highlight w:val="none"/>
          <w:lang w:val="en-GB"/>
        </w:rPr>
      </w:pPr>
    </w:p>
    <w:p>
      <w:pPr>
        <w:pStyle w:val="6"/>
        <w:spacing w:line="360" w:lineRule="auto"/>
        <w:jc w:val="center"/>
        <w:rPr>
          <w:rFonts w:ascii="宋体" w:hAnsi="宋体" w:cs="宋体"/>
          <w:color w:val="auto"/>
          <w:sz w:val="24"/>
          <w:szCs w:val="24"/>
          <w:highlight w:val="none"/>
        </w:rPr>
      </w:pPr>
      <w:bookmarkStart w:id="32" w:name="_Toc15067"/>
      <w:r>
        <w:rPr>
          <w:rFonts w:hint="eastAsia" w:ascii="宋体" w:hAnsi="宋体" w:cs="宋体"/>
          <w:color w:val="auto"/>
          <w:sz w:val="24"/>
          <w:szCs w:val="24"/>
          <w:highlight w:val="none"/>
        </w:rPr>
        <w:t>二、磋商文件的说明</w:t>
      </w:r>
      <w:bookmarkEnd w:id="32"/>
    </w:p>
    <w:p>
      <w:pPr>
        <w:numPr>
          <w:ilvl w:val="0"/>
          <w:numId w:val="10"/>
        </w:numPr>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磋商文件的构成</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磋商文件由下列文件组成：①磋商邀请函（或竞争性磋商公告）；②采购项目内容；③供应商须知；④合同书范本；⑤响应文件格式；⑥</w:t>
      </w:r>
      <w:r>
        <w:rPr>
          <w:rFonts w:hint="eastAsia" w:ascii="宋体" w:hAnsi="宋体" w:cs="宋体"/>
          <w:color w:val="auto"/>
          <w:szCs w:val="24"/>
          <w:highlight w:val="none"/>
        </w:rPr>
        <w:t>在招标采购过程中由招标采购单位发出的修正和补充文件、答复文件等。</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认真阅读并充分理解磋商文件的全部内容（包括所有的补充、修改内容、重要事项、格式、条款和技术规范、参数及要求等）。供应商没有按照磋商文件要求提交全部资料，或者投标/响应没有对磋商文件在各方面都做出实质性响应是供应商的风险，有可能导致其投标/响应被拒绝，或被认定为无效投标/响应或被确定为投标/响应无效。</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磋商文件采用电子文档和纸质盖章文件形式制作，两种介质不一致时以纸质盖章文件为准。</w:t>
      </w:r>
    </w:p>
    <w:p>
      <w:pPr>
        <w:numPr>
          <w:ilvl w:val="1"/>
          <w:numId w:val="10"/>
        </w:numPr>
        <w:tabs>
          <w:tab w:val="left" w:pos="540"/>
        </w:tabs>
        <w:snapToGrid w:val="0"/>
        <w:spacing w:line="360" w:lineRule="auto"/>
        <w:rPr>
          <w:rFonts w:ascii="宋体" w:hAnsi="宋体" w:cs="宋体"/>
          <w:color w:val="auto"/>
          <w:szCs w:val="24"/>
          <w:highlight w:val="none"/>
          <w:lang w:val="en-GB"/>
        </w:rPr>
      </w:pPr>
      <w:bookmarkStart w:id="33" w:name="_Toc49329256"/>
      <w:bookmarkStart w:id="34" w:name="_Toc55812447"/>
      <w:r>
        <w:rPr>
          <w:rFonts w:hint="eastAsia" w:ascii="宋体" w:hAnsi="宋体" w:cs="宋体"/>
          <w:color w:val="auto"/>
          <w:szCs w:val="24"/>
          <w:highlight w:val="none"/>
          <w:lang w:val="en-GB"/>
        </w:rPr>
        <w:t>磋商文件的采购技术要求内容与法律法规有冲突的，解释处理顺序为：①以官方强制性要求或行业标准规范为准；②以本磋商文件约定的技术要求为准。</w:t>
      </w:r>
    </w:p>
    <w:p>
      <w:pPr>
        <w:numPr>
          <w:ilvl w:val="0"/>
          <w:numId w:val="10"/>
        </w:numPr>
        <w:tabs>
          <w:tab w:val="left" w:pos="540"/>
        </w:tabs>
        <w:snapToGrid w:val="0"/>
        <w:spacing w:line="360" w:lineRule="auto"/>
        <w:rPr>
          <w:rFonts w:ascii="宋体" w:hAnsi="宋体" w:cs="宋体"/>
          <w:b/>
          <w:color w:val="auto"/>
          <w:szCs w:val="24"/>
          <w:highlight w:val="none"/>
          <w:lang w:val="en-GB"/>
        </w:rPr>
      </w:pPr>
      <w:bookmarkStart w:id="35" w:name="_Toc276220259"/>
      <w:bookmarkStart w:id="36" w:name="_Toc275954887"/>
      <w:bookmarkStart w:id="37" w:name="_Toc276220240"/>
      <w:bookmarkStart w:id="38" w:name="_Toc113157423"/>
      <w:r>
        <w:rPr>
          <w:rFonts w:hint="eastAsia" w:ascii="宋体" w:hAnsi="宋体" w:cs="宋体"/>
          <w:b/>
          <w:color w:val="auto"/>
          <w:szCs w:val="24"/>
          <w:highlight w:val="none"/>
          <w:lang w:val="en-GB"/>
        </w:rPr>
        <w:t>磋商文件的澄清</w:t>
      </w:r>
      <w:bookmarkEnd w:id="33"/>
      <w:bookmarkEnd w:id="34"/>
      <w:bookmarkEnd w:id="35"/>
      <w:bookmarkEnd w:id="36"/>
      <w:bookmarkEnd w:id="37"/>
      <w:bookmarkEnd w:id="38"/>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任何要求对磋商文件进行澄清的供应商，均应以书面形式在提交响应文件截止时间</w:t>
      </w:r>
      <w:r>
        <w:rPr>
          <w:rFonts w:hint="eastAsia" w:ascii="宋体" w:hAnsi="宋体" w:cs="宋体"/>
          <w:b/>
          <w:color w:val="auto"/>
          <w:szCs w:val="24"/>
          <w:highlight w:val="none"/>
        </w:rPr>
        <w:t>5个工作</w:t>
      </w:r>
      <w:r>
        <w:rPr>
          <w:rFonts w:hint="eastAsia" w:ascii="宋体" w:hAnsi="宋体" w:cs="宋体"/>
          <w:b/>
          <w:color w:val="auto"/>
          <w:szCs w:val="24"/>
          <w:highlight w:val="none"/>
          <w:lang w:val="en-GB"/>
        </w:rPr>
        <w:t>日</w:t>
      </w:r>
      <w:r>
        <w:rPr>
          <w:rFonts w:hint="eastAsia" w:ascii="宋体" w:hAnsi="宋体" w:cs="宋体"/>
          <w:color w:val="auto"/>
          <w:szCs w:val="24"/>
          <w:highlight w:val="none"/>
          <w:lang w:val="en-GB"/>
        </w:rPr>
        <w:t>以前通知采购代理机构。采购代理机构将组织采购人对供应商所要求澄清的内容均以书面形式予以答复。</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供应商在规定的时间内未对磋商文件澄清或提出疑问的，采购代理机构将视其为无异议。对磋商文件中描述有歧义或前后不一致的地方，磋商小组有权进行评判，但对同一条款的评判应适用于每个供应商。</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供应商在收到采购代理机构答复后，应于</w:t>
      </w:r>
      <w:r>
        <w:rPr>
          <w:rFonts w:hint="eastAsia" w:ascii="宋体" w:hAnsi="宋体" w:cs="宋体"/>
          <w:b/>
          <w:color w:val="auto"/>
          <w:szCs w:val="24"/>
          <w:highlight w:val="none"/>
          <w:lang w:val="en-GB"/>
        </w:rPr>
        <w:t>24小时</w:t>
      </w:r>
      <w:r>
        <w:rPr>
          <w:rFonts w:hint="eastAsia" w:ascii="宋体" w:hAnsi="宋体" w:cs="宋体"/>
          <w:color w:val="auto"/>
          <w:szCs w:val="24"/>
          <w:highlight w:val="none"/>
          <w:lang w:val="en-GB"/>
        </w:rPr>
        <w:t>内，在澄清（答疑、答复）文件盖章页加盖单位公章，并将该文件传真或邮件发给采购代理机构以确认答复。逾期未能确认答复的，视为已收到和确认该澄清（答疑、答复）文件。</w:t>
      </w:r>
    </w:p>
    <w:p>
      <w:pPr>
        <w:numPr>
          <w:ilvl w:val="0"/>
          <w:numId w:val="1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磋商文件的修改</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提交首次响应文件截止时间前，招标采购单位可以对已发出的磋商文件进行必要的澄清或者修改，澄清或者修改的内容作为磋商文件的组成部分。澄清或者修改的内容可能影响响应文件编制的，招标采购单位应当在提交首次响应文件截止时间至少</w:t>
      </w:r>
      <w:r>
        <w:rPr>
          <w:rFonts w:hint="eastAsia" w:ascii="宋体" w:hAnsi="宋体" w:cs="宋体"/>
          <w:b/>
          <w:color w:val="auto"/>
          <w:szCs w:val="24"/>
          <w:highlight w:val="none"/>
          <w:lang w:val="en-GB"/>
        </w:rPr>
        <w:t>5日</w:t>
      </w:r>
      <w:r>
        <w:rPr>
          <w:rFonts w:hint="eastAsia" w:ascii="宋体" w:hAnsi="宋体" w:cs="宋体"/>
          <w:color w:val="auto"/>
          <w:szCs w:val="24"/>
          <w:highlight w:val="none"/>
          <w:lang w:val="en-GB"/>
        </w:rPr>
        <w:t>前，以书面形式通知所有获取磋商文件的供应商；不足</w:t>
      </w:r>
      <w:r>
        <w:rPr>
          <w:rFonts w:hint="eastAsia" w:ascii="宋体" w:hAnsi="宋体" w:cs="宋体"/>
          <w:b/>
          <w:color w:val="auto"/>
          <w:szCs w:val="24"/>
          <w:highlight w:val="none"/>
          <w:lang w:val="en-GB"/>
        </w:rPr>
        <w:t>5日</w:t>
      </w:r>
      <w:r>
        <w:rPr>
          <w:rFonts w:hint="eastAsia" w:ascii="宋体" w:hAnsi="宋体" w:cs="宋体"/>
          <w:color w:val="auto"/>
          <w:szCs w:val="24"/>
          <w:highlight w:val="none"/>
          <w:lang w:val="en-GB"/>
        </w:rPr>
        <w:t>的，招标采购单位应当顺延提交首次响应文件截止时间。</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修改后的内容是磋商文件的组成部分，将以书面形式通知所有购买磋商文件的潜在供应商，并对潜在供应商具有约束力。供应商在收到通知后，应于24小时内，在修改文件盖章页加盖单位公章，并将该文件传真或邮件发给采购代理机构以确认答复。逾期没有确认答复的，将视为已收到和确认该修改文件。</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为使供应商准备投标/响应时有充分时间对磋商文件的修改部分进行研究分析，在磋商文件要求提交响应文件的截止时间</w:t>
      </w:r>
      <w:r>
        <w:rPr>
          <w:rFonts w:hint="eastAsia" w:ascii="宋体" w:hAnsi="宋体" w:cs="宋体"/>
          <w:b/>
          <w:color w:val="auto"/>
          <w:szCs w:val="24"/>
          <w:highlight w:val="none"/>
          <w:lang w:val="en-GB"/>
        </w:rPr>
        <w:t>3日</w:t>
      </w:r>
      <w:r>
        <w:rPr>
          <w:rFonts w:hint="eastAsia" w:ascii="宋体" w:hAnsi="宋体" w:cs="宋体"/>
          <w:color w:val="auto"/>
          <w:szCs w:val="24"/>
          <w:highlight w:val="none"/>
          <w:lang w:val="en-GB"/>
        </w:rPr>
        <w:t>前，招标采购单位可以视采购具体情况适当推迟提交响应文件截止时间和开标时间，并将变更时间书面通知所有磋商文件收受人。</w:t>
      </w:r>
    </w:p>
    <w:p>
      <w:pPr>
        <w:numPr>
          <w:ilvl w:val="0"/>
          <w:numId w:val="10"/>
        </w:numPr>
        <w:tabs>
          <w:tab w:val="left" w:pos="540"/>
        </w:tabs>
        <w:snapToGrid w:val="0"/>
        <w:spacing w:line="360" w:lineRule="auto"/>
        <w:ind w:left="540" w:hanging="540"/>
        <w:rPr>
          <w:rFonts w:ascii="宋体" w:hAnsi="宋体" w:cs="宋体"/>
          <w:b/>
          <w:color w:val="auto"/>
          <w:szCs w:val="24"/>
          <w:highlight w:val="none"/>
          <w:lang w:val="en-GB"/>
        </w:rPr>
      </w:pPr>
      <w:r>
        <w:rPr>
          <w:rFonts w:hint="eastAsia" w:ascii="宋体" w:hAnsi="宋体" w:cs="宋体"/>
          <w:b/>
          <w:color w:val="auto"/>
          <w:szCs w:val="24"/>
          <w:highlight w:val="none"/>
          <w:lang w:val="en-GB"/>
        </w:rPr>
        <w:t>其他情形</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本项目不举行答疑会，不组织踏勘现场。供应商踏勘现场的费用、责任及风险均自行承担。</w:t>
      </w:r>
    </w:p>
    <w:p>
      <w:pPr>
        <w:numPr>
          <w:ilvl w:val="1"/>
          <w:numId w:val="10"/>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采购代理机构在磋商文件的澄清或修改期间，对供应商联系信息均以报名时填报的信息为依据。</w:t>
      </w:r>
    </w:p>
    <w:p>
      <w:pPr>
        <w:spacing w:line="360" w:lineRule="auto"/>
        <w:rPr>
          <w:rFonts w:ascii="宋体" w:hAnsi="宋体" w:cs="宋体"/>
          <w:color w:val="auto"/>
          <w:szCs w:val="24"/>
          <w:highlight w:val="none"/>
          <w:lang w:val="en-GB"/>
        </w:rPr>
      </w:pPr>
    </w:p>
    <w:p>
      <w:pPr>
        <w:pStyle w:val="6"/>
        <w:spacing w:line="360" w:lineRule="auto"/>
        <w:jc w:val="center"/>
        <w:rPr>
          <w:rFonts w:ascii="宋体" w:hAnsi="宋体" w:cs="宋体"/>
          <w:color w:val="auto"/>
          <w:sz w:val="24"/>
          <w:szCs w:val="24"/>
          <w:highlight w:val="none"/>
        </w:rPr>
      </w:pPr>
      <w:bookmarkStart w:id="39" w:name="_Toc4590"/>
      <w:r>
        <w:rPr>
          <w:rFonts w:hint="eastAsia" w:ascii="宋体" w:hAnsi="宋体" w:cs="宋体"/>
          <w:color w:val="auto"/>
          <w:sz w:val="24"/>
          <w:szCs w:val="24"/>
          <w:highlight w:val="none"/>
        </w:rPr>
        <w:t>三、响应文件的说明</w:t>
      </w:r>
      <w:bookmarkEnd w:id="39"/>
    </w:p>
    <w:p>
      <w:pPr>
        <w:numPr>
          <w:ilvl w:val="0"/>
          <w:numId w:val="11"/>
        </w:numPr>
        <w:tabs>
          <w:tab w:val="left" w:pos="540"/>
        </w:tabs>
        <w:snapToGrid w:val="0"/>
        <w:spacing w:line="360" w:lineRule="auto"/>
        <w:rPr>
          <w:rFonts w:ascii="宋体" w:hAnsi="宋体" w:cs="宋体"/>
          <w:b/>
          <w:color w:val="auto"/>
          <w:szCs w:val="24"/>
          <w:highlight w:val="none"/>
          <w:lang w:val="en-GB"/>
        </w:rPr>
      </w:pPr>
      <w:bookmarkStart w:id="40" w:name="_Toc136662917"/>
      <w:bookmarkStart w:id="41" w:name="_Toc528736183"/>
      <w:bookmarkStart w:id="42" w:name="_Toc20571357"/>
      <w:bookmarkStart w:id="43" w:name="_Toc20564611"/>
      <w:bookmarkStart w:id="44" w:name="_Toc5578667"/>
      <w:bookmarkStart w:id="45" w:name="_Toc275954888"/>
      <w:bookmarkStart w:id="46" w:name="_Toc20564523"/>
      <w:bookmarkStart w:id="47" w:name="_Toc119321128"/>
      <w:bookmarkStart w:id="48" w:name="_Toc136682893"/>
      <w:bookmarkStart w:id="49" w:name="_Toc276220260"/>
      <w:bookmarkStart w:id="50" w:name="_Toc5575604"/>
      <w:bookmarkStart w:id="51" w:name="_Toc332090771"/>
      <w:bookmarkStart w:id="52" w:name="_Toc20144977"/>
      <w:r>
        <w:rPr>
          <w:rFonts w:hint="eastAsia" w:ascii="宋体" w:hAnsi="宋体" w:cs="宋体"/>
          <w:b/>
          <w:color w:val="auto"/>
          <w:szCs w:val="24"/>
          <w:highlight w:val="none"/>
          <w:lang w:val="en-GB"/>
        </w:rPr>
        <w:t>投标/响应的语言</w:t>
      </w:r>
    </w:p>
    <w:p>
      <w:pPr>
        <w:numPr>
          <w:ilvl w:val="0"/>
          <w:numId w:val="1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提交的响应文件以及供应商与采购代理机构就有关投标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响应文件的构成应符合法律法规及磋商文件的要求。</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响应文件编制</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响应文件应按“第五部分 响应文件格式”的要求以A4版面编制（图纸可以用A3版面编制，折叠成A4尺寸）进行编写，并逐页编排不间断的连续页码。</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响应文件自制部分必须打印，每份内页须按序加注页码。如有必要，可以增加附页，作为响应文件的组成部分。</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响应文件所使用的公章必须与供应商名称一致，不能以其它业务章或附属机构章代替。</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供应商对磋商文件中多个包（组）进行投标的，其响应文件的编制应按每个包（组）的要求分别装订和封装。</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供应商应当对响应文件进行装订，装订应牢固可靠，对未经装订或因装订不牢固的响应文件可能发生的文件散落或缺损，由此产生的后果由供应商承担。</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任何行间插字、涂改和增删，必须由供应商法定代表人或全权代表在旁边签字或加盖供应商公章后方为有效。</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供应商应完整、真实、准确的填写磋商文件中规定的所有内容。</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必须对响应文件所提供的全部资料的真实性承担法律责任，并无条件接受采购代理机构及政府采购监督管理部门等对其中任何资料进行核实的要求。供应商必须对响应文件所提供的全部资料的真实性承担法律责任。供应商应保证提交的资料合法真实且准确有效，如发现自身资料被盗用或复制，应遵循法律途径解决，追究侵权者责任。</w:t>
      </w:r>
    </w:p>
    <w:p>
      <w:pPr>
        <w:numPr>
          <w:ilvl w:val="0"/>
          <w:numId w:val="1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如果因为供应商响应文件填报的内容不详，或没有提供磋商文件中所要求的全部资料及数据，由此造成的后果，其责任由供应商承担。</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磋商报价</w:t>
      </w:r>
    </w:p>
    <w:p>
      <w:pPr>
        <w:numPr>
          <w:ilvl w:val="0"/>
          <w:numId w:val="1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供应商所提供的服务均应以人民币报价，若同时以人民币及外币报价的，以人民币报价为准。</w:t>
      </w:r>
    </w:p>
    <w:p>
      <w:pPr>
        <w:numPr>
          <w:ilvl w:val="0"/>
          <w:numId w:val="1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供应商应按照“第二部分 采购项目内容”规定的内容、责任范围以及合同条款进行报价。并按《报价一览表》和《磋商报价汇总表》确定的格式报出分项价格和总价。投标总价中不得包含磋商文件要求以外的内容，否则，在评标时不予核减。投标总价中也不得缺漏磋商文件所要求的内容，否则，其投标时视为已将缺漏内容包含在投标总价中。</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备选方案</w:t>
      </w:r>
    </w:p>
    <w:p>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只允许供应商有一个投标方案，否则将被视为无效投标/响应。（磋商文件允许有备选方案的除外）</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联合体投标/响应（在“</w:t>
      </w:r>
      <w:r>
        <w:rPr>
          <w:rFonts w:hint="eastAsia" w:ascii="宋体" w:hAnsi="宋体" w:cs="宋体"/>
          <w:b/>
          <w:color w:val="auto"/>
          <w:szCs w:val="24"/>
          <w:highlight w:val="none"/>
        </w:rPr>
        <w:t>供应商资格”允许的情况下执行</w:t>
      </w:r>
      <w:r>
        <w:rPr>
          <w:rFonts w:hint="eastAsia" w:ascii="宋体" w:hAnsi="宋体" w:cs="宋体"/>
          <w:b/>
          <w:color w:val="auto"/>
          <w:szCs w:val="24"/>
          <w:highlight w:val="none"/>
          <w:lang w:val="en-GB"/>
        </w:rPr>
        <w:t>）</w:t>
      </w:r>
    </w:p>
    <w:p>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组成联合体投标/响应的按政府采购的法律、法规、规章等有关规定执行。</w:t>
      </w:r>
    </w:p>
    <w:p>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基本如下：联合体各方均须符合政府采购法规相关条件。采购人根据采购项目的特殊要求规定供应商特定条件的，联合体中至少应当有一方符合采购人规定的特定条件。由同一资质条件的供应商组成的联合体，按照资质等级较低的供应商确定联合体的资质等级。联合体的任何一方在参与本次投标中，不得再以独立体名义或在其它联合体中重复出现。</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磋商保证金：本项目不收取磋商保证金。</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投标有效期</w:t>
      </w:r>
    </w:p>
    <w:p>
      <w:pPr>
        <w:numPr>
          <w:ilvl w:val="0"/>
          <w:numId w:val="1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投标有效期：详见《供应商须知前附表》。</w:t>
      </w:r>
    </w:p>
    <w:p>
      <w:pPr>
        <w:numPr>
          <w:ilvl w:val="0"/>
          <w:numId w:val="1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供应商的响应文件应在投标有效期内保持有效。投标有效期不足的将被视为实质性不响应磋商文件要求。</w:t>
      </w:r>
    </w:p>
    <w:p>
      <w:pPr>
        <w:numPr>
          <w:ilvl w:val="0"/>
          <w:numId w:val="1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投标有效期内，响应文件的一切内容和补充承诺均为持续有效且不予改变。</w:t>
      </w:r>
    </w:p>
    <w:p>
      <w:pPr>
        <w:numPr>
          <w:ilvl w:val="0"/>
          <w:numId w:val="1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特殊情况下，在原投标有效期截止之前，采购人可要求供应商同意延长其投标有效期。这种要求和答复均应以书面形式提供。供应商可拒绝或同意采购人的这种要求。接受延长投标有效期的供应商将不会被要求和允许修正其投标。</w:t>
      </w:r>
    </w:p>
    <w:p>
      <w:pPr>
        <w:numPr>
          <w:ilvl w:val="0"/>
          <w:numId w:val="1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投标有效期比规定时间短的将被视为非响应性投标而予以拒绝。</w:t>
      </w:r>
    </w:p>
    <w:p>
      <w:pPr>
        <w:numPr>
          <w:ilvl w:val="0"/>
          <w:numId w:val="11"/>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响应文件的数量和签署</w:t>
      </w:r>
    </w:p>
    <w:p>
      <w:pPr>
        <w:numPr>
          <w:ilvl w:val="0"/>
          <w:numId w:val="1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供应商应编制响应文件资料，响应文件数量详见《供应商须知前附表》。</w:t>
      </w:r>
    </w:p>
    <w:p>
      <w:pPr>
        <w:numPr>
          <w:ilvl w:val="0"/>
          <w:numId w:val="1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的正本需打印或用不褪色墨水书写，磋商文件提供的响应文件格式中规定要求签字、盖章的地方均须由供应商的相应人员签名或签章、加盖供应商公章（不得使用其他代章）。授权代表须出具书面授权证明，其《供应商授权书》应附在响应文件中。</w:t>
      </w:r>
    </w:p>
    <w:p>
      <w:pPr>
        <w:numPr>
          <w:ilvl w:val="0"/>
          <w:numId w:val="1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若副本存在缺漏页、无签字或盖章页，不作为无效投标/响应条件。</w:t>
      </w:r>
    </w:p>
    <w:p>
      <w:pPr>
        <w:numPr>
          <w:ilvl w:val="0"/>
          <w:numId w:val="1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响应文件中的任何重要的插字、涂改和增删，必须由法定代表人或经其正式授权的代表在旁边签章或签字才有效。</w:t>
      </w:r>
    </w:p>
    <w:p>
      <w:pPr>
        <w:tabs>
          <w:tab w:val="left" w:pos="540"/>
        </w:tabs>
        <w:snapToGrid w:val="0"/>
        <w:spacing w:line="360" w:lineRule="auto"/>
        <w:rPr>
          <w:rFonts w:ascii="宋体" w:hAnsi="宋体" w:cs="宋体"/>
          <w:b/>
          <w:color w:val="auto"/>
          <w:szCs w:val="24"/>
          <w:highlight w:val="none"/>
          <w:lang w:val="en-GB"/>
        </w:rPr>
      </w:pPr>
    </w:p>
    <w:p>
      <w:pPr>
        <w:pStyle w:val="6"/>
        <w:spacing w:line="360" w:lineRule="auto"/>
        <w:jc w:val="center"/>
        <w:rPr>
          <w:rFonts w:ascii="宋体" w:hAnsi="宋体" w:cs="宋体"/>
          <w:color w:val="auto"/>
          <w:sz w:val="24"/>
          <w:szCs w:val="24"/>
          <w:highlight w:val="none"/>
        </w:rPr>
      </w:pPr>
      <w:bookmarkStart w:id="53" w:name="_Toc15901"/>
      <w:r>
        <w:rPr>
          <w:rFonts w:hint="eastAsia" w:ascii="宋体" w:hAnsi="宋体" w:cs="宋体"/>
          <w:color w:val="auto"/>
          <w:sz w:val="24"/>
          <w:szCs w:val="24"/>
          <w:highlight w:val="none"/>
        </w:rPr>
        <w:t>四、响应文件的递交</w:t>
      </w:r>
      <w:bookmarkEnd w:id="53"/>
    </w:p>
    <w:p>
      <w:pPr>
        <w:numPr>
          <w:ilvl w:val="0"/>
          <w:numId w:val="17"/>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响应文件的密封、标记和递交</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须按磋商文件《磋商邀请函》及竞争性磋商公告规定的时间、地点递交响应文件，逾期送达或者未送达指定地点的响应文件，为无效响应文件，采购代理机构将拒收。若时间地点已按法定程序变更，则以变更后的时间地点为准。</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供应商须以密封包装形式当面现场递交，拒绝接受邮寄、电报或电话传真形式递交的响应文件。</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将响应文件密封包装，响应文件密封包包含内容、报价信封密封包包含内容详见《供应商须知前附表》。文件密封完毕并在外包装上清晰标明“正本”、“副本”字样。信封或外包装上应当注明采购项目名称、采购项目编号和“在（提交响应文件截止时间）之前不得启封”的字样，封口处应加盖供应商公章。格式详见“第五部分 响应文件格式 文件包装袋封面标贴格式”。</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如果未按要求密封和标记，对因错放或密封不牢靠而造成的提前开封的响应文件将予以拒绝，并退还给供应商，招标采购单位不承担由此造成的响应文件提前开封的责任。</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供应商在递交响应文件时，须同时递交电子文档。电子文档要求：详见《供应商须知前附表》。</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供应商所提交的响应文件在评标结束后，无论中标/成交与否均不予退还。</w:t>
      </w:r>
    </w:p>
    <w:p>
      <w:pPr>
        <w:numPr>
          <w:ilvl w:val="0"/>
          <w:numId w:val="18"/>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供应商自行承担因参加本次投标/响应而发生的一切费用，招标采购单位对供应商及其他当事人不承担任何形式的赔偿或补偿。</w:t>
      </w:r>
    </w:p>
    <w:p>
      <w:pPr>
        <w:numPr>
          <w:ilvl w:val="0"/>
          <w:numId w:val="17"/>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响应文件的修改和撤回</w:t>
      </w:r>
    </w:p>
    <w:p>
      <w:pPr>
        <w:numPr>
          <w:ilvl w:val="0"/>
          <w:numId w:val="1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在提交响应文件截止时间前，可以对所递交的响应文件进行补充、修改或者撤回，并书面通知招标采购单位。补充、修改的内容应当按磋商文件要求签署、盖章，并作为响应文件的组成部分。补充、修改的内容与响应文件不一致的，以补充、修改的内容为准。在提交响应文件截止时间之后，供应商不得对其响应文件做任何修改和补充。</w:t>
      </w:r>
    </w:p>
    <w:p>
      <w:pPr>
        <w:numPr>
          <w:ilvl w:val="0"/>
          <w:numId w:val="1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供应商在递交响应文件后，可以撤回其投标/响应，但供应商必须在规定的提交响应文件截止时间前以书面形式告知采购代理机构。</w:t>
      </w:r>
      <w:bookmarkEnd w:id="40"/>
      <w:bookmarkEnd w:id="41"/>
      <w:bookmarkEnd w:id="42"/>
      <w:bookmarkEnd w:id="43"/>
      <w:bookmarkEnd w:id="44"/>
      <w:bookmarkEnd w:id="45"/>
      <w:bookmarkEnd w:id="46"/>
      <w:bookmarkEnd w:id="47"/>
      <w:bookmarkEnd w:id="48"/>
      <w:bookmarkEnd w:id="49"/>
      <w:bookmarkEnd w:id="50"/>
      <w:bookmarkEnd w:id="51"/>
      <w:bookmarkEnd w:id="52"/>
    </w:p>
    <w:p>
      <w:pPr>
        <w:numPr>
          <w:ilvl w:val="0"/>
          <w:numId w:val="17"/>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其他</w:t>
      </w:r>
    </w:p>
    <w:p>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供应商的授权代表须携带本人身份证，准时亲自递交合规格的密封响应文件，对在指定时间外交付的任何文件，采购代理机构将拒绝接受。对于已接收受理的响应文件，采购代理机构一概不予退回。授权代表应听从招标采购单位的安排轮侯出席磋商，其现场所签署确认的文件均代表供应商的真实意愿和决定，并作为响应文件的补充内容具有不可撤消更改的法律效力。</w:t>
      </w:r>
    </w:p>
    <w:p>
      <w:pPr>
        <w:spacing w:line="360" w:lineRule="auto"/>
        <w:rPr>
          <w:rFonts w:ascii="宋体" w:hAnsi="宋体" w:cs="宋体"/>
          <w:color w:val="auto"/>
          <w:szCs w:val="24"/>
          <w:highlight w:val="none"/>
          <w:lang w:val="en-GB"/>
        </w:rPr>
      </w:pPr>
    </w:p>
    <w:p>
      <w:pPr>
        <w:pStyle w:val="6"/>
        <w:spacing w:line="360" w:lineRule="auto"/>
        <w:jc w:val="center"/>
        <w:rPr>
          <w:rFonts w:ascii="宋体" w:hAnsi="宋体" w:cs="宋体"/>
          <w:color w:val="auto"/>
          <w:sz w:val="24"/>
          <w:szCs w:val="24"/>
          <w:highlight w:val="none"/>
        </w:rPr>
      </w:pPr>
      <w:bookmarkStart w:id="54" w:name="_Toc7692"/>
      <w:r>
        <w:rPr>
          <w:rFonts w:hint="eastAsia" w:ascii="宋体" w:hAnsi="宋体" w:cs="宋体"/>
          <w:color w:val="auto"/>
          <w:sz w:val="24"/>
          <w:szCs w:val="24"/>
          <w:highlight w:val="none"/>
        </w:rPr>
        <w:t>五、开标及评审程序</w:t>
      </w:r>
      <w:bookmarkEnd w:id="54"/>
    </w:p>
    <w:p>
      <w:pPr>
        <w:numPr>
          <w:ilvl w:val="0"/>
          <w:numId w:val="20"/>
        </w:numPr>
        <w:tabs>
          <w:tab w:val="left" w:pos="540"/>
        </w:tabs>
        <w:snapToGrid w:val="0"/>
        <w:spacing w:line="360" w:lineRule="auto"/>
        <w:rPr>
          <w:rFonts w:ascii="宋体" w:hAnsi="宋体" w:cs="宋体"/>
          <w:b/>
          <w:color w:val="auto"/>
          <w:szCs w:val="24"/>
          <w:highlight w:val="none"/>
          <w:lang w:val="en-GB"/>
        </w:rPr>
      </w:pPr>
      <w:bookmarkStart w:id="55" w:name="_Toc136662923"/>
      <w:bookmarkStart w:id="56" w:name="_Toc276220266"/>
      <w:bookmarkStart w:id="57" w:name="_Toc528736189"/>
      <w:bookmarkStart w:id="58" w:name="_Toc275954894"/>
      <w:bookmarkStart w:id="59" w:name="_Toc136682899"/>
      <w:bookmarkStart w:id="60" w:name="_Toc332090776"/>
      <w:bookmarkStart w:id="61" w:name="_Toc119321134"/>
      <w:r>
        <w:rPr>
          <w:rFonts w:hint="eastAsia" w:ascii="宋体" w:hAnsi="宋体" w:cs="宋体"/>
          <w:b/>
          <w:color w:val="auto"/>
          <w:szCs w:val="24"/>
          <w:highlight w:val="none"/>
          <w:lang w:val="en-GB"/>
        </w:rPr>
        <w:t>开标会</w:t>
      </w:r>
      <w:bookmarkEnd w:id="55"/>
      <w:bookmarkEnd w:id="56"/>
      <w:bookmarkEnd w:id="57"/>
      <w:bookmarkEnd w:id="58"/>
      <w:bookmarkEnd w:id="59"/>
      <w:bookmarkEnd w:id="60"/>
      <w:bookmarkEnd w:id="61"/>
    </w:p>
    <w:p>
      <w:pPr>
        <w:numPr>
          <w:ilvl w:val="0"/>
          <w:numId w:val="21"/>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采购代理机构按磋商文件约定的时间和地点组织开标，供应商须派员出席开标会全过程，否则视为接受开标结果。</w:t>
      </w:r>
    </w:p>
    <w:p>
      <w:pPr>
        <w:numPr>
          <w:ilvl w:val="0"/>
          <w:numId w:val="21"/>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宣布递交响应文件时间截止后，采购代理机构将不再接收任何响应文件。</w:t>
      </w:r>
    </w:p>
    <w:p>
      <w:pPr>
        <w:numPr>
          <w:ilvl w:val="0"/>
          <w:numId w:val="21"/>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评审前，由递交响应文件顺序的前两名供应商代表全体供应商对全部响应文件的密封情况进行当众检查，经检查未按要求密封的响应文件不予启封并现场退还。评审前的开标会，不唱读各供应商的首次报价。</w:t>
      </w:r>
    </w:p>
    <w:p>
      <w:pPr>
        <w:numPr>
          <w:ilvl w:val="0"/>
          <w:numId w:val="21"/>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当</w:t>
      </w:r>
      <w:r>
        <w:rPr>
          <w:rFonts w:hint="eastAsia" w:ascii="宋体" w:hAnsi="宋体" w:cs="宋体"/>
          <w:color w:val="auto"/>
          <w:szCs w:val="24"/>
          <w:highlight w:val="none"/>
        </w:rPr>
        <w:t>提交响应文件截止时间</w:t>
      </w:r>
      <w:r>
        <w:rPr>
          <w:rFonts w:hint="eastAsia" w:ascii="宋体" w:hAnsi="宋体" w:cs="宋体"/>
          <w:color w:val="auto"/>
          <w:szCs w:val="24"/>
          <w:highlight w:val="none"/>
          <w:lang w:val="en-GB"/>
        </w:rPr>
        <w:t>到达时，如供应商少于三家的，响应文件将不予启封并现场退还。（符合本部分“</w:t>
      </w:r>
      <w:r>
        <w:rPr>
          <w:rFonts w:hint="eastAsia" w:ascii="宋体" w:hAnsi="宋体" w:cs="宋体"/>
          <w:color w:val="auto"/>
          <w:szCs w:val="24"/>
          <w:highlight w:val="none"/>
        </w:rPr>
        <w:t>特殊情形”的除外</w:t>
      </w:r>
      <w:r>
        <w:rPr>
          <w:rFonts w:hint="eastAsia" w:ascii="宋体" w:hAnsi="宋体" w:cs="宋体"/>
          <w:color w:val="auto"/>
          <w:szCs w:val="24"/>
          <w:highlight w:val="none"/>
          <w:lang w:val="en-GB"/>
        </w:rPr>
        <w:t>）</w:t>
      </w:r>
    </w:p>
    <w:p>
      <w:pPr>
        <w:numPr>
          <w:ilvl w:val="0"/>
          <w:numId w:val="20"/>
        </w:numPr>
        <w:tabs>
          <w:tab w:val="left" w:pos="540"/>
        </w:tabs>
        <w:snapToGrid w:val="0"/>
        <w:spacing w:line="360" w:lineRule="auto"/>
        <w:rPr>
          <w:rFonts w:ascii="宋体" w:hAnsi="宋体" w:cs="宋体"/>
          <w:b/>
          <w:color w:val="auto"/>
          <w:szCs w:val="24"/>
          <w:highlight w:val="none"/>
          <w:lang w:val="en-GB"/>
        </w:rPr>
      </w:pPr>
      <w:bookmarkStart w:id="62" w:name="_Toc276220267"/>
      <w:bookmarkStart w:id="63" w:name="_Toc136682900"/>
      <w:bookmarkStart w:id="64" w:name="_Toc528736190"/>
      <w:bookmarkStart w:id="65" w:name="_Toc136662924"/>
      <w:bookmarkStart w:id="66" w:name="_Toc119321135"/>
      <w:bookmarkStart w:id="67" w:name="_Toc275954895"/>
      <w:bookmarkStart w:id="68" w:name="_Toc332090777"/>
      <w:r>
        <w:rPr>
          <w:rFonts w:hint="eastAsia" w:ascii="宋体" w:hAnsi="宋体" w:cs="宋体"/>
          <w:b/>
          <w:color w:val="auto"/>
          <w:szCs w:val="24"/>
          <w:highlight w:val="none"/>
          <w:lang w:val="en-GB"/>
        </w:rPr>
        <w:t>磋商小组的组成及工作要求</w:t>
      </w:r>
      <w:bookmarkEnd w:id="62"/>
      <w:bookmarkEnd w:id="63"/>
      <w:bookmarkEnd w:id="64"/>
      <w:bookmarkEnd w:id="65"/>
      <w:bookmarkEnd w:id="66"/>
      <w:bookmarkEnd w:id="67"/>
      <w:bookmarkEnd w:id="68"/>
    </w:p>
    <w:p>
      <w:pPr>
        <w:numPr>
          <w:ilvl w:val="0"/>
          <w:numId w:val="2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采购代理机构依法组建磋商小组，磋商小组的组成见《供应商须知前附表》，其中专家成员在专家库中随机抽取产生。</w:t>
      </w:r>
    </w:p>
    <w:p>
      <w:pPr>
        <w:numPr>
          <w:ilvl w:val="0"/>
          <w:numId w:val="2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将本着公平、公正、科学、择优的原则，按照磋商文件确定的评审程序和评审方法进行评审。不得对磋商文件中一些涉及竞争的公平、公正性重要内容（包括带“★”项）进行现场临时修改调整，也不得单独与供应商进行联系接触。</w:t>
      </w:r>
    </w:p>
    <w:p>
      <w:pPr>
        <w:numPr>
          <w:ilvl w:val="0"/>
          <w:numId w:val="2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如对磋商文件、响应文件及相关补充文件的理解存有歧义时，磋商小组可对这些文件或向有关方面进行查证了解质询，并通过集体讨论或表决达成一致处理意见。任何形式的决定，须以合法公正和有利于项目的安全顺利实施为前提。</w:t>
      </w:r>
    </w:p>
    <w:p>
      <w:pPr>
        <w:numPr>
          <w:ilvl w:val="0"/>
          <w:numId w:val="2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评审过程中涉及和产生的所有程序文件、打分表格及评审综合意见（授标建议），均须由磋商小组成员签名确认。</w:t>
      </w:r>
    </w:p>
    <w:p>
      <w:pPr>
        <w:numPr>
          <w:ilvl w:val="0"/>
          <w:numId w:val="22"/>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评审结果未公布前，供应商均不得主动与磋商小组、采购人、主办机构联系以探取评审信息。</w:t>
      </w:r>
    </w:p>
    <w:p>
      <w:pPr>
        <w:numPr>
          <w:ilvl w:val="0"/>
          <w:numId w:val="20"/>
        </w:numPr>
        <w:tabs>
          <w:tab w:val="left" w:pos="540"/>
        </w:tabs>
        <w:snapToGrid w:val="0"/>
        <w:spacing w:line="360" w:lineRule="auto"/>
        <w:rPr>
          <w:rFonts w:ascii="宋体" w:hAnsi="宋体" w:cs="宋体"/>
          <w:b/>
          <w:color w:val="auto"/>
          <w:szCs w:val="24"/>
          <w:highlight w:val="none"/>
          <w:lang w:val="en-GB"/>
        </w:rPr>
      </w:pPr>
      <w:bookmarkStart w:id="69" w:name="_Toc136662925"/>
      <w:bookmarkStart w:id="70" w:name="_Toc136682901"/>
      <w:bookmarkStart w:id="71" w:name="_Toc276220268"/>
      <w:bookmarkStart w:id="72" w:name="_Toc275954896"/>
      <w:bookmarkStart w:id="73" w:name="_Toc528736191"/>
      <w:bookmarkStart w:id="74" w:name="_Toc119321136"/>
      <w:bookmarkStart w:id="75" w:name="_Toc332090778"/>
      <w:r>
        <w:rPr>
          <w:rFonts w:hint="eastAsia" w:ascii="宋体" w:hAnsi="宋体" w:cs="宋体"/>
          <w:b/>
          <w:color w:val="auto"/>
          <w:szCs w:val="24"/>
          <w:highlight w:val="none"/>
          <w:lang w:val="en-GB"/>
        </w:rPr>
        <w:t>评审流程与相关事项</w:t>
      </w:r>
      <w:bookmarkEnd w:id="69"/>
      <w:bookmarkEnd w:id="70"/>
      <w:bookmarkEnd w:id="71"/>
      <w:bookmarkEnd w:id="72"/>
      <w:bookmarkEnd w:id="73"/>
      <w:bookmarkEnd w:id="74"/>
      <w:bookmarkEnd w:id="75"/>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bookmarkStart w:id="76" w:name="_Toc332090779"/>
      <w:r>
        <w:rPr>
          <w:rFonts w:hint="eastAsia" w:ascii="宋体" w:hAnsi="宋体" w:cs="宋体"/>
          <w:b/>
          <w:color w:val="auto"/>
          <w:szCs w:val="24"/>
          <w:highlight w:val="none"/>
          <w:lang w:val="en-GB"/>
        </w:rPr>
        <w:t>确认《评审细则》。</w:t>
      </w:r>
      <w:r>
        <w:rPr>
          <w:rFonts w:hint="eastAsia" w:ascii="宋体" w:hAnsi="宋体" w:cs="宋体"/>
          <w:color w:val="auto"/>
          <w:szCs w:val="24"/>
          <w:highlight w:val="none"/>
          <w:lang w:val="en-GB"/>
        </w:rPr>
        <w:t>签署通过《评审细则》。《评审细则》的内容包括评审纪律、评审方法、评审程序与评审细则等。</w:t>
      </w:r>
    </w:p>
    <w:p>
      <w:pPr>
        <w:numPr>
          <w:ilvl w:val="0"/>
          <w:numId w:val="23"/>
        </w:numPr>
        <w:tabs>
          <w:tab w:val="left" w:pos="420"/>
          <w:tab w:val="left" w:pos="540"/>
        </w:tabs>
        <w:snapToGrid w:val="0"/>
        <w:spacing w:line="360" w:lineRule="auto"/>
        <w:rPr>
          <w:rFonts w:ascii="宋体" w:hAnsi="宋体" w:cs="宋体"/>
          <w:bCs/>
          <w:color w:val="auto"/>
          <w:highlight w:val="none"/>
          <w:lang w:val="en-GB"/>
        </w:rPr>
      </w:pPr>
      <w:r>
        <w:rPr>
          <w:rFonts w:hint="eastAsia" w:ascii="宋体" w:hAnsi="宋体" w:cs="宋体"/>
          <w:b/>
          <w:color w:val="auto"/>
          <w:highlight w:val="none"/>
          <w:lang w:val="en-GB"/>
        </w:rPr>
        <w:t>资格审查。</w:t>
      </w:r>
      <w:r>
        <w:rPr>
          <w:rFonts w:hint="eastAsia" w:ascii="宋体" w:hAnsi="宋体" w:cs="宋体"/>
          <w:color w:val="auto"/>
          <w:highlight w:val="none"/>
          <w:lang w:val="en-GB"/>
        </w:rPr>
        <w:t xml:space="preserve">依据磋商文件磋商邀请函中“供应商资格”的规定，对响应文件中的资格证明材料等进行审查，以确定供应商是否具备响应资格。 </w:t>
      </w:r>
    </w:p>
    <w:p>
      <w:pPr>
        <w:numPr>
          <w:ilvl w:val="1"/>
          <w:numId w:val="24"/>
        </w:numPr>
        <w:tabs>
          <w:tab w:val="left" w:pos="540"/>
        </w:tabs>
        <w:spacing w:line="360" w:lineRule="auto"/>
        <w:rPr>
          <w:rFonts w:ascii="宋体" w:hAnsi="宋体" w:cs="宋体"/>
          <w:color w:val="auto"/>
          <w:highlight w:val="none"/>
          <w:lang w:val="en-GB"/>
        </w:rPr>
      </w:pPr>
      <w:r>
        <w:rPr>
          <w:rFonts w:hint="eastAsia" w:ascii="宋体" w:hAnsi="宋体" w:cs="宋体"/>
          <w:color w:val="auto"/>
          <w:highlight w:val="none"/>
          <w:lang w:val="en-GB"/>
        </w:rPr>
        <w:t>根据《财政部关于在政府采购活动中查询及使用信用记录有关问题的通知》（财库〔2016〕125 号）的要求，资格审查时将进行信用记录查询：</w:t>
      </w:r>
    </w:p>
    <w:p>
      <w:pPr>
        <w:tabs>
          <w:tab w:val="left" w:pos="540"/>
        </w:tabs>
        <w:snapToGrid w:val="0"/>
        <w:spacing w:line="360" w:lineRule="auto"/>
        <w:rPr>
          <w:rFonts w:ascii="宋体" w:hAnsi="宋体" w:cs="宋体"/>
          <w:color w:val="auto"/>
          <w:highlight w:val="none"/>
          <w:lang w:val="en-GB"/>
        </w:rPr>
      </w:pPr>
      <w:r>
        <w:rPr>
          <w:rFonts w:hint="eastAsia" w:ascii="宋体" w:hAnsi="宋体" w:cs="宋体"/>
          <w:color w:val="auto"/>
          <w:highlight w:val="none"/>
          <w:lang w:val="en-GB"/>
        </w:rPr>
        <w:t>（</w:t>
      </w:r>
      <w:r>
        <w:rPr>
          <w:rFonts w:hint="eastAsia" w:ascii="宋体" w:hAnsi="宋体" w:cs="宋体"/>
          <w:color w:val="auto"/>
          <w:highlight w:val="none"/>
        </w:rPr>
        <w:t>1</w:t>
      </w:r>
      <w:r>
        <w:rPr>
          <w:rFonts w:hint="eastAsia" w:ascii="宋体" w:hAnsi="宋体" w:cs="宋体"/>
          <w:color w:val="auto"/>
          <w:highlight w:val="none"/>
          <w:lang w:val="en-GB"/>
        </w:rPr>
        <w:t>）信用记录查询：</w:t>
      </w:r>
    </w:p>
    <w:p>
      <w:pPr>
        <w:tabs>
          <w:tab w:val="left" w:pos="540"/>
        </w:tabs>
        <w:spacing w:line="360" w:lineRule="auto"/>
        <w:ind w:firstLine="480" w:firstLineChars="200"/>
        <w:rPr>
          <w:rFonts w:ascii="宋体" w:hAnsi="宋体" w:cs="宋体"/>
          <w:color w:val="auto"/>
          <w:highlight w:val="none"/>
          <w:lang w:val="en-GB"/>
        </w:rPr>
      </w:pPr>
      <w:r>
        <w:rPr>
          <w:rFonts w:hint="eastAsia" w:ascii="宋体" w:hAnsi="宋体" w:cs="宋体"/>
          <w:color w:val="auto"/>
          <w:highlight w:val="none"/>
          <w:lang w:val="en-GB"/>
        </w:rPr>
        <w:t>① 查询渠道：通过“信用中国”网站、中国政府采购网查询供应商的信用记录。</w:t>
      </w:r>
    </w:p>
    <w:p>
      <w:pPr>
        <w:tabs>
          <w:tab w:val="left" w:pos="540"/>
        </w:tabs>
        <w:snapToGrid w:val="0"/>
        <w:spacing w:line="360" w:lineRule="auto"/>
        <w:ind w:left="480" w:leftChars="200"/>
        <w:rPr>
          <w:rFonts w:ascii="宋体" w:hAnsi="宋体" w:cs="宋体"/>
          <w:color w:val="auto"/>
          <w:highlight w:val="none"/>
          <w:lang w:val="en-GB"/>
        </w:rPr>
      </w:pPr>
      <w:r>
        <w:rPr>
          <w:rFonts w:hint="eastAsia" w:ascii="宋体" w:hAnsi="宋体" w:cs="宋体"/>
          <w:color w:val="auto"/>
          <w:highlight w:val="none"/>
          <w:lang w:val="en-GB"/>
        </w:rPr>
        <w:t>② 截止时点：投标截止日当天，在进行资格审查时查询询，截止时点以查询页面显示的查询时间为准。</w:t>
      </w:r>
    </w:p>
    <w:p>
      <w:pPr>
        <w:tabs>
          <w:tab w:val="left" w:pos="540"/>
        </w:tabs>
        <w:spacing w:line="360" w:lineRule="auto"/>
        <w:ind w:left="480" w:leftChars="200"/>
        <w:rPr>
          <w:rFonts w:ascii="宋体" w:hAnsi="宋体" w:cs="宋体"/>
          <w:color w:val="auto"/>
          <w:highlight w:val="none"/>
          <w:lang w:val="en-GB"/>
        </w:rPr>
      </w:pPr>
      <w:r>
        <w:rPr>
          <w:rFonts w:hint="eastAsia" w:ascii="宋体" w:hAnsi="宋体" w:cs="宋体"/>
          <w:color w:val="auto"/>
          <w:highlight w:val="none"/>
          <w:lang w:val="en-GB"/>
        </w:rPr>
        <w:t>③ 结果留存：采取保留纸质网络打印件、网页查询截图或其相关复印件的方式做好信用信息查询记录和证据留存，信用信息查询记录及相关证据与其他采购文件一并保存。</w:t>
      </w:r>
    </w:p>
    <w:p>
      <w:pPr>
        <w:tabs>
          <w:tab w:val="left" w:pos="540"/>
        </w:tabs>
        <w:spacing w:line="360" w:lineRule="auto"/>
        <w:rPr>
          <w:rFonts w:ascii="宋体" w:hAnsi="宋体" w:cs="宋体"/>
          <w:color w:val="auto"/>
          <w:highlight w:val="none"/>
          <w:lang w:val="en-GB"/>
        </w:rPr>
      </w:pPr>
      <w:r>
        <w:rPr>
          <w:rFonts w:hint="eastAsia" w:ascii="宋体" w:hAnsi="宋体" w:cs="宋体"/>
          <w:color w:val="auto"/>
          <w:highlight w:val="none"/>
          <w:lang w:val="en-GB"/>
        </w:rPr>
        <w:t>（</w:t>
      </w:r>
      <w:r>
        <w:rPr>
          <w:rFonts w:hint="eastAsia" w:ascii="宋体" w:hAnsi="宋体" w:cs="宋体"/>
          <w:color w:val="auto"/>
          <w:highlight w:val="none"/>
        </w:rPr>
        <w:t>2</w:t>
      </w:r>
      <w:r>
        <w:rPr>
          <w:rFonts w:hint="eastAsia" w:ascii="宋体" w:hAnsi="宋体" w:cs="宋体"/>
          <w:color w:val="auto"/>
          <w:highlight w:val="none"/>
          <w:lang w:val="en-GB"/>
        </w:rPr>
        <w:t>）信用记录的使用：</w:t>
      </w:r>
    </w:p>
    <w:p>
      <w:pPr>
        <w:tabs>
          <w:tab w:val="left" w:pos="540"/>
        </w:tabs>
        <w:spacing w:line="360" w:lineRule="auto"/>
        <w:ind w:left="480" w:leftChars="200"/>
        <w:rPr>
          <w:rFonts w:hint="eastAsia" w:ascii="宋体" w:hAnsi="宋体" w:cs="宋体"/>
          <w:color w:val="auto"/>
          <w:highlight w:val="none"/>
          <w:lang w:val="en-GB"/>
        </w:rPr>
      </w:pPr>
      <w:r>
        <w:rPr>
          <w:rFonts w:hint="eastAsia" w:ascii="宋体" w:hAnsi="宋体" w:cs="宋体"/>
          <w:color w:val="auto"/>
          <w:highlight w:val="none"/>
          <w:lang w:val="en-GB"/>
        </w:rPr>
        <w:t>① 对供应商信用记录进行甄别，对</w:t>
      </w:r>
      <w:r>
        <w:rPr>
          <w:rFonts w:hint="eastAsia" w:ascii="宋体" w:hAnsi="宋体" w:cs="宋体"/>
          <w:color w:val="auto"/>
          <w:szCs w:val="24"/>
          <w:highlight w:val="none"/>
          <w:lang w:val="hr-HR"/>
        </w:rPr>
        <w:t>被列入“信用中国”网站(www.creditchina.gov.cn)“记录失信被执行人或税收违法黑名单（即原“重大税收违法案件当事人名单”）”记录名单；处于中国政府采购网(www.ccgp.gov.cn)“政府采购严重违法失信行为信息记录”中的禁止参加政府采购活动期间</w:t>
      </w:r>
      <w:r>
        <w:rPr>
          <w:rFonts w:hint="eastAsia" w:ascii="宋体" w:hAnsi="宋体" w:cs="宋体"/>
          <w:color w:val="auto"/>
          <w:highlight w:val="none"/>
          <w:lang w:val="en-GB"/>
        </w:rPr>
        <w:t>及其他不符合《中华人民共和国政府采购法》第二十二条规定条件的供应商，拒绝其参与政府采购活动。</w:t>
      </w:r>
    </w:p>
    <w:p>
      <w:pPr>
        <w:tabs>
          <w:tab w:val="left" w:pos="540"/>
        </w:tabs>
        <w:spacing w:line="360" w:lineRule="auto"/>
        <w:ind w:left="480" w:leftChars="200"/>
        <w:rPr>
          <w:rFonts w:ascii="宋体" w:hAnsi="宋体" w:cs="宋体"/>
          <w:color w:val="auto"/>
          <w:highlight w:val="none"/>
          <w:lang w:val="en-GB"/>
        </w:rPr>
      </w:pPr>
      <w:r>
        <w:rPr>
          <w:rFonts w:hint="eastAsia" w:ascii="宋体" w:hAnsi="宋体" w:cs="宋体"/>
          <w:color w:val="auto"/>
          <w:highlight w:val="none"/>
          <w:lang w:val="en-GB"/>
        </w:rPr>
        <w:t>② 两个以上的自然人、法人或者其他组织组成一个联合体，以一个供应商的身份共同参加政府采购活动的，对所有联合体成员进行信用记录查询，联合体成员存在不良信用记录的，视同联合体存在不良信用记录。</w:t>
      </w:r>
    </w:p>
    <w:p>
      <w:pPr>
        <w:tabs>
          <w:tab w:val="left" w:pos="540"/>
        </w:tabs>
        <w:spacing w:line="360" w:lineRule="auto"/>
        <w:ind w:left="480" w:leftChars="200"/>
        <w:rPr>
          <w:rFonts w:ascii="宋体" w:hAnsi="宋体" w:cs="宋体"/>
          <w:color w:val="auto"/>
          <w:szCs w:val="24"/>
          <w:highlight w:val="none"/>
          <w:lang w:val="en-GB"/>
        </w:rPr>
      </w:pPr>
      <w:r>
        <w:rPr>
          <w:rFonts w:hint="eastAsia" w:ascii="宋体" w:hAnsi="宋体"/>
          <w:color w:val="auto"/>
          <w:highlight w:val="none"/>
        </w:rPr>
        <w:t>③响应供应商为分支机构的，该分支机构所属总公司（总所）存在不良信用记录的，视同供应商存在不良信用记录。</w:t>
      </w:r>
    </w:p>
    <w:p>
      <w:pPr>
        <w:numPr>
          <w:ilvl w:val="0"/>
          <w:numId w:val="23"/>
        </w:numPr>
        <w:tabs>
          <w:tab w:val="left" w:pos="420"/>
          <w:tab w:val="left" w:pos="540"/>
        </w:tabs>
        <w:snapToGrid w:val="0"/>
        <w:spacing w:line="360" w:lineRule="auto"/>
        <w:rPr>
          <w:rFonts w:ascii="宋体" w:hAnsi="宋体" w:cs="宋体"/>
          <w:bCs/>
          <w:color w:val="auto"/>
          <w:szCs w:val="24"/>
          <w:highlight w:val="none"/>
          <w:lang w:val="en-GB"/>
        </w:rPr>
      </w:pPr>
      <w:r>
        <w:rPr>
          <w:rFonts w:hint="eastAsia" w:ascii="宋体" w:hAnsi="宋体" w:cs="宋体"/>
          <w:b/>
          <w:color w:val="auto"/>
          <w:szCs w:val="24"/>
          <w:highlight w:val="none"/>
          <w:lang w:val="en-GB"/>
        </w:rPr>
        <w:t>符合性审查。</w:t>
      </w:r>
      <w:r>
        <w:rPr>
          <w:rFonts w:hint="eastAsia" w:ascii="宋体" w:hAnsi="宋体" w:cs="宋体"/>
          <w:color w:val="auto"/>
          <w:szCs w:val="24"/>
          <w:highlight w:val="none"/>
          <w:lang w:val="en-GB"/>
        </w:rPr>
        <w:t>评标委员会依据资格性审查结果，对通过资格性审查的供应商进行符合性审查，对照本项目的技术、商务、预算金额及文件制作要求，审查响应文件是否完全实质性响应</w:t>
      </w:r>
      <w:r>
        <w:rPr>
          <w:rFonts w:hint="eastAsia" w:ascii="宋体" w:hAnsi="宋体" w:cs="宋体"/>
          <w:color w:val="auto"/>
          <w:szCs w:val="24"/>
          <w:highlight w:val="none"/>
        </w:rPr>
        <w:t>竞争性磋商文件</w:t>
      </w:r>
      <w:r>
        <w:rPr>
          <w:rFonts w:hint="eastAsia" w:ascii="宋体" w:hAnsi="宋体" w:cs="宋体"/>
          <w:color w:val="auto"/>
          <w:szCs w:val="24"/>
          <w:highlight w:val="none"/>
          <w:lang w:val="en-GB"/>
        </w:rPr>
        <w:t>的要求情况等，没有出现重大偏离。</w:t>
      </w:r>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质询与澄清（如有）。</w:t>
      </w:r>
    </w:p>
    <w:p>
      <w:pPr>
        <w:numPr>
          <w:ilvl w:val="1"/>
          <w:numId w:val="25"/>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25"/>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numPr>
          <w:ilvl w:val="0"/>
          <w:numId w:val="26"/>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实质性响应。</w:t>
      </w:r>
      <w:r>
        <w:rPr>
          <w:rFonts w:hint="eastAsia" w:ascii="宋体" w:hAnsi="宋体" w:cs="宋体"/>
          <w:color w:val="auto"/>
          <w:szCs w:val="24"/>
          <w:highlight w:val="none"/>
          <w:lang w:val="en-GB"/>
        </w:rPr>
        <w:t>是指符合</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lang w:val="en-GB"/>
        </w:rPr>
        <w:t xml:space="preserve">文件的关键性和重要要求、条款、条件、规定，且没有不利于 项目实施质量效果和服务保障的重大偏离或保留。实质性条款包括但不限于本文件涉及的 “商务要求中的各项条款”及其它带“★”标注的强制响应条款。 </w:t>
      </w:r>
    </w:p>
    <w:p>
      <w:pPr>
        <w:numPr>
          <w:ilvl w:val="0"/>
          <w:numId w:val="26"/>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重大偏离或保留。</w:t>
      </w:r>
      <w:r>
        <w:rPr>
          <w:rFonts w:hint="eastAsia" w:ascii="宋体" w:hAnsi="宋体" w:cs="宋体"/>
          <w:color w:val="auto"/>
          <w:szCs w:val="24"/>
          <w:highlight w:val="none"/>
          <w:lang w:val="en-GB"/>
        </w:rPr>
        <w:t>是指影响到</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lang w:val="en-GB"/>
        </w:rPr>
        <w:t xml:space="preserve">文件规定的范围、质量和性能或限制了采购人的权力和供应商义务的规定，而调整纠正这些偏离将直接影响到其它供应商的公平竞争地位。 </w:t>
      </w:r>
    </w:p>
    <w:p>
      <w:pPr>
        <w:numPr>
          <w:ilvl w:val="0"/>
          <w:numId w:val="26"/>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轻微偏离。</w:t>
      </w:r>
      <w:r>
        <w:rPr>
          <w:rFonts w:hint="eastAsia" w:ascii="宋体" w:hAnsi="宋体" w:cs="宋体"/>
          <w:color w:val="auto"/>
          <w:szCs w:val="24"/>
          <w:highlight w:val="none"/>
          <w:lang w:val="en-GB"/>
        </w:rPr>
        <w:t>是指响应文件能够实质上响应</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lang w:val="en-GB"/>
        </w:rPr>
        <w:t xml:space="preserve">文件要求，但在个别地方存在漏项或者提供 了不完整的技术信息和数据等情况，并且补正这些遗漏或者不完整不会对其他供应商造成 不公平的结果。它包括负偏离（劣于）和正偏离(优于)。 </w:t>
      </w:r>
    </w:p>
    <w:p>
      <w:pPr>
        <w:numPr>
          <w:ilvl w:val="0"/>
          <w:numId w:val="26"/>
        </w:numPr>
        <w:tabs>
          <w:tab w:val="left" w:pos="42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相同品牌的认定 。</w:t>
      </w:r>
    </w:p>
    <w:p>
      <w:pPr>
        <w:tabs>
          <w:tab w:val="left" w:pos="510"/>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(1)采用最低评标价法的采购项目：提供相同品牌产品通过资格审查、符合性审查且报价最低的参加评标；报价相同的，评标委员会按照商务条件比较优的推荐一名供应商参加评标，其他投标无效。</w:t>
      </w:r>
    </w:p>
    <w:p>
      <w:pPr>
        <w:tabs>
          <w:tab w:val="left" w:pos="510"/>
          <w:tab w:val="left" w:pos="540"/>
        </w:tabs>
        <w:snapToGrid w:val="0"/>
        <w:spacing w:line="360" w:lineRule="auto"/>
        <w:ind w:left="480" w:leftChars="200"/>
        <w:rPr>
          <w:rFonts w:ascii="宋体" w:hAnsi="宋体" w:cs="宋体"/>
          <w:color w:val="auto"/>
          <w:szCs w:val="24"/>
          <w:highlight w:val="none"/>
          <w:lang w:val="en-GB"/>
        </w:rPr>
      </w:pPr>
      <w:r>
        <w:rPr>
          <w:rFonts w:hint="eastAsia" w:ascii="宋体" w:hAnsi="宋体" w:cs="宋体"/>
          <w:color w:val="auto"/>
          <w:szCs w:val="24"/>
          <w:highlight w:val="none"/>
          <w:lang w:val="en-GB"/>
        </w:rPr>
        <w:t>(2)使用综合评分法的采购项目：提供相同品牌产品且通过资格审查、符合性审查的不同供应商参加同一合同项下投标的，按一家供应商计算。评标委员会最终按照本须知推荐中标候选人名单的方式确定一家中标候选人，其他同品牌供应商不作为中标候选人。</w:t>
      </w:r>
    </w:p>
    <w:p>
      <w:pPr>
        <w:tabs>
          <w:tab w:val="left" w:pos="510"/>
          <w:tab w:val="left" w:pos="540"/>
        </w:tabs>
        <w:snapToGrid w:val="0"/>
        <w:spacing w:line="360" w:lineRule="auto"/>
        <w:ind w:left="480" w:leftChars="200"/>
        <w:rPr>
          <w:rFonts w:ascii="宋体" w:hAnsi="宋体" w:cs="宋体"/>
          <w:color w:val="auto"/>
          <w:szCs w:val="24"/>
          <w:highlight w:val="none"/>
          <w:lang w:val="en-GB"/>
        </w:rPr>
      </w:pPr>
      <w:r>
        <w:rPr>
          <w:rFonts w:hint="eastAsia" w:ascii="宋体" w:hAnsi="宋体" w:cs="宋体"/>
          <w:color w:val="auto"/>
          <w:szCs w:val="24"/>
          <w:highlight w:val="none"/>
          <w:lang w:val="en-GB"/>
        </w:rPr>
        <w:t>(3)非单一产品采购项目：非单一产品采购项目的核心产品在本文第二章载明，未载明的均作为核心产品。评标委员会依照供应商投标的核心产品评审是否属于相同品牌，属于相同品牌的按上述规定进行处理。</w:t>
      </w:r>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初审结论。</w:t>
      </w:r>
      <w:r>
        <w:rPr>
          <w:rFonts w:hint="eastAsia" w:ascii="宋体" w:hAnsi="宋体" w:cs="宋体"/>
          <w:color w:val="auto"/>
          <w:szCs w:val="24"/>
          <w:highlight w:val="none"/>
          <w:lang w:val="en-GB"/>
        </w:rPr>
        <w:t>初审结论以记名方式独立表决，评审过程中对初步认定为“初审不合格”或“无效投标”或“不通过”者，磋商小组可通知供应商授权代表亲自到达现场，由当事人对被列举的事实加以核证和确认。对有过半数评委审定为“初审不合格”或“无效投标”或“不通过”者将不进入下列程序的评审。</w:t>
      </w:r>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磋商。</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磋商小组所有成员应当集中与单一供应商分别进行磋商，并给予所有参加磋商的供应商平等的磋商机会。</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对磋商文件作出的实质性变动是磋商文件的有效组成部分，磋商小组应当及时以书面形式同时通知所有参加磋商的供应商。</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磋商文件能够详细列明采购标的的技术、服务要求的，磋商结束后，磋商小组</w:t>
      </w:r>
      <w:r>
        <w:rPr>
          <w:rFonts w:hint="eastAsia" w:ascii="宋体" w:hAnsi="宋体" w:cs="宋体"/>
          <w:color w:val="auto"/>
          <w:szCs w:val="24"/>
          <w:highlight w:val="none"/>
        </w:rPr>
        <w:t>可</w:t>
      </w:r>
      <w:r>
        <w:rPr>
          <w:rFonts w:hint="eastAsia" w:ascii="宋体" w:hAnsi="宋体" w:cs="宋体"/>
          <w:color w:val="auto"/>
          <w:szCs w:val="24"/>
          <w:highlight w:val="none"/>
          <w:lang w:val="en-GB"/>
        </w:rPr>
        <w:t>要求所有实质性响应的供应商在规定时间内提交最后报价（是否进行最终报价及最终报价时间视磋商进程由磋商小组决定），提交最后报价的供应商不得少于3家。（符合本部分“特殊情形”的除外）</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符合本部分“特殊情形”的除外）</w:t>
      </w:r>
    </w:p>
    <w:p>
      <w:pPr>
        <w:numPr>
          <w:ilvl w:val="1"/>
          <w:numId w:val="2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已提交响应文件的供应商，在提交最后报价之前，可以根据磋商情况退出磋商。</w:t>
      </w:r>
    </w:p>
    <w:p>
      <w:pPr>
        <w:numPr>
          <w:ilvl w:val="0"/>
          <w:numId w:val="23"/>
        </w:numPr>
        <w:tabs>
          <w:tab w:val="left" w:pos="42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最后报价。</w:t>
      </w:r>
    </w:p>
    <w:p>
      <w:pPr>
        <w:numPr>
          <w:ilvl w:val="1"/>
          <w:numId w:val="2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结束后，所有作出实质性响应的有效供应商应在规定的时间内集中密封提交最后报价（最后报价时间视磋商进程由磋商小组决定）。除非在磋商中磋商小组调整或修改竞争性磋商文件内容，一般情况下最后报价均不得高于前一次报价，否则采购人不接受高于前面轮次磋商报价的最后报价。最后报价内容须现场公布。对成交供应商的价格出现明显低于或高于同业同期市场平均价的情形时，磋商小组应当在评审意见中详细说明推荐理由。</w:t>
      </w:r>
    </w:p>
    <w:p>
      <w:pPr>
        <w:numPr>
          <w:ilvl w:val="1"/>
          <w:numId w:val="2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最后报价是供应商响应文件的有效组成部分。</w:t>
      </w:r>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比较与评价。</w:t>
      </w:r>
    </w:p>
    <w:p>
      <w:pPr>
        <w:numPr>
          <w:ilvl w:val="1"/>
          <w:numId w:val="2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经磋商确定最终采购需求和提交最后报价的供应商后，由磋商小组采用综合评分法（详见本部分“六、评审方法及标准”）对提交最后报价的供应商的响应文件和最后报价进行综合评分。</w:t>
      </w:r>
    </w:p>
    <w:p>
      <w:pPr>
        <w:numPr>
          <w:ilvl w:val="1"/>
          <w:numId w:val="2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评审时，磋商小组各成员应当独立对每个有效响应的文件进行评价、打分，然后汇总每个供应商每项评分因素的得分。评分按四舍五入的原则精确至小数点后两位。</w:t>
      </w:r>
    </w:p>
    <w:p>
      <w:pPr>
        <w:numPr>
          <w:ilvl w:val="0"/>
          <w:numId w:val="23"/>
        </w:numPr>
        <w:tabs>
          <w:tab w:val="left" w:pos="42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政策性价格折扣。</w:t>
      </w:r>
    </w:p>
    <w:p>
      <w:pPr>
        <w:numPr>
          <w:ilvl w:val="1"/>
          <w:numId w:val="30"/>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《政府采购促进中小企业发展管理办法》（财库〔2020〕46号）</w:t>
      </w:r>
    </w:p>
    <w:p>
      <w:pPr>
        <w:numPr>
          <w:ilvl w:val="1"/>
          <w:numId w:val="30"/>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《关于政府采购支持监狱企业发展有关问题的通知》(财库〔2014〕68号)</w:t>
      </w:r>
    </w:p>
    <w:p>
      <w:pPr>
        <w:numPr>
          <w:ilvl w:val="1"/>
          <w:numId w:val="30"/>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《关于促进残疾人就业政府采购政策的通知》（财库〔2017〕141号)</w:t>
      </w:r>
    </w:p>
    <w:p>
      <w:pPr>
        <w:tabs>
          <w:tab w:val="left" w:pos="540"/>
        </w:tabs>
        <w:spacing w:line="360" w:lineRule="auto"/>
        <w:ind w:firstLine="720" w:firstLineChars="300"/>
        <w:rPr>
          <w:rFonts w:ascii="宋体" w:hAnsi="宋体" w:cs="宋体"/>
          <w:color w:val="auto"/>
          <w:szCs w:val="24"/>
          <w:highlight w:val="none"/>
          <w:lang w:val="en-GB"/>
        </w:rPr>
      </w:pPr>
      <w:r>
        <w:rPr>
          <w:rFonts w:hint="eastAsia" w:ascii="宋体" w:hAnsi="宋体" w:cs="宋体"/>
          <w:color w:val="auto"/>
          <w:szCs w:val="24"/>
          <w:highlight w:val="none"/>
          <w:lang w:val="en-GB"/>
        </w:rPr>
        <w:t>具体扣除比例详见“评审方法及标准”。</w:t>
      </w:r>
    </w:p>
    <w:p>
      <w:pPr>
        <w:numPr>
          <w:ilvl w:val="0"/>
          <w:numId w:val="23"/>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综合汇总及推荐结果。</w:t>
      </w:r>
    </w:p>
    <w:p>
      <w:pPr>
        <w:numPr>
          <w:ilvl w:val="1"/>
          <w:numId w:val="31"/>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将各磋商小组成员的评分进行汇总，综合总分</w:t>
      </w:r>
      <w:r>
        <w:rPr>
          <w:rFonts w:hint="eastAsia" w:ascii="宋体" w:hAnsi="宋体" w:cs="宋体"/>
          <w:b/>
          <w:bCs/>
          <w:color w:val="auto"/>
          <w:szCs w:val="24"/>
          <w:highlight w:val="none"/>
          <w:lang w:val="en-GB"/>
        </w:rPr>
        <w:t>（按照评审因素的量化指标评审得分）</w:t>
      </w:r>
      <w:r>
        <w:rPr>
          <w:rFonts w:hint="eastAsia" w:ascii="宋体" w:hAnsi="宋体" w:cs="宋体"/>
          <w:color w:val="auto"/>
          <w:szCs w:val="24"/>
          <w:highlight w:val="none"/>
          <w:lang w:val="en-GB"/>
        </w:rPr>
        <w:t>从高到低顺序排列，推荐综合得分</w:t>
      </w:r>
      <w:r>
        <w:rPr>
          <w:rFonts w:hint="eastAsia" w:ascii="宋体" w:hAnsi="宋体" w:cs="宋体"/>
          <w:b/>
          <w:bCs/>
          <w:color w:val="auto"/>
          <w:szCs w:val="24"/>
          <w:highlight w:val="none"/>
          <w:lang w:val="en-GB"/>
        </w:rPr>
        <w:t>（按照评审因素的量化指标评审得分）</w:t>
      </w:r>
      <w:r>
        <w:rPr>
          <w:rFonts w:hint="eastAsia" w:ascii="宋体" w:hAnsi="宋体" w:cs="宋体"/>
          <w:color w:val="auto"/>
          <w:szCs w:val="24"/>
          <w:highlight w:val="none"/>
          <w:lang w:val="en-GB"/>
        </w:rPr>
        <w:t>排名前</w:t>
      </w:r>
      <w:r>
        <w:rPr>
          <w:rFonts w:hint="eastAsia" w:ascii="宋体" w:hAnsi="宋体" w:cs="宋体"/>
          <w:color w:val="auto"/>
          <w:szCs w:val="24"/>
          <w:highlight w:val="none"/>
        </w:rPr>
        <w:t>3</w:t>
      </w:r>
      <w:r>
        <w:rPr>
          <w:rFonts w:hint="eastAsia" w:ascii="宋体" w:hAnsi="宋体" w:cs="宋体"/>
          <w:color w:val="auto"/>
          <w:szCs w:val="24"/>
          <w:highlight w:val="none"/>
          <w:lang w:val="en-GB"/>
        </w:rPr>
        <w:t>名的供应商为第一、</w:t>
      </w:r>
      <w:r>
        <w:rPr>
          <w:rFonts w:hint="eastAsia" w:ascii="宋体" w:hAnsi="宋体" w:cs="宋体"/>
          <w:color w:val="auto"/>
          <w:szCs w:val="24"/>
          <w:highlight w:val="none"/>
        </w:rPr>
        <w:t>第二、第三</w:t>
      </w:r>
      <w:r>
        <w:rPr>
          <w:rFonts w:hint="eastAsia" w:ascii="宋体" w:hAnsi="宋体" w:cs="宋体"/>
          <w:color w:val="auto"/>
          <w:szCs w:val="24"/>
          <w:highlight w:val="none"/>
          <w:lang w:val="en-GB"/>
        </w:rPr>
        <w:t>成交候选人并向采购人出具书面评标报告。</w:t>
      </w:r>
    </w:p>
    <w:p>
      <w:pPr>
        <w:numPr>
          <w:ilvl w:val="1"/>
          <w:numId w:val="32"/>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磋商小组成员推荐成交候选人的数量：详见《供应商须知前附表》</w:t>
      </w:r>
    </w:p>
    <w:p>
      <w:pPr>
        <w:numPr>
          <w:ilvl w:val="1"/>
          <w:numId w:val="32"/>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如评标总得分排名第一名有多家供应商得分并列相同的，按照最后报价由低到高的顺序推荐；评审得分且最后报价相同的，按技术得分从高到低顺序推荐；若评标总得分、最后报价、技术得分都相同，则由评委投票决定排序，投票按少数服从多数的原则进行，投票时不得弃权。</w:t>
      </w:r>
    </w:p>
    <w:p>
      <w:pPr>
        <w:numPr>
          <w:ilvl w:val="0"/>
          <w:numId w:val="2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响应文件差异修正准则</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开标内容与响应文件对应内容不一致，均以开标唱读所列述的内容为准；</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正本和副本之间内容有差异，以正本为准；</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投标/响应报价中文大写金额和小写金额不一致的，以中文大写金额为准；</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总价金额与按单价汇总金额不一致的，以单价汇总金额为准；</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响应文件描述内容与原始材料引述内容不一致时，以原始材料内容为准；</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如出现明显笔误或其他情况，由磋商小组裁定通过方为有效；</w:t>
      </w:r>
    </w:p>
    <w:p>
      <w:pPr>
        <w:numPr>
          <w:ilvl w:val="0"/>
          <w:numId w:val="33"/>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磋商小组认定为表述不清晰或无法确定的报价均不予修正。</w:t>
      </w:r>
    </w:p>
    <w:p>
      <w:pPr>
        <w:numPr>
          <w:ilvl w:val="0"/>
          <w:numId w:val="2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废标条件与处理</w:t>
      </w:r>
      <w:bookmarkEnd w:id="76"/>
    </w:p>
    <w:p>
      <w:pPr>
        <w:tabs>
          <w:tab w:val="left" w:pos="540"/>
        </w:tabs>
        <w:snapToGrid w:val="0"/>
        <w:spacing w:line="360" w:lineRule="auto"/>
        <w:ind w:left="510"/>
        <w:rPr>
          <w:rFonts w:ascii="宋体" w:hAnsi="宋体" w:cs="宋体"/>
          <w:color w:val="auto"/>
          <w:szCs w:val="24"/>
          <w:highlight w:val="none"/>
          <w:lang w:val="en-GB"/>
        </w:rPr>
      </w:pPr>
      <w:bookmarkStart w:id="77" w:name="_Toc25726401"/>
      <w:bookmarkStart w:id="78" w:name="_Toc26261448"/>
      <w:r>
        <w:rPr>
          <w:rFonts w:hint="eastAsia" w:ascii="宋体" w:hAnsi="宋体" w:cs="宋体"/>
          <w:color w:val="auto"/>
          <w:szCs w:val="24"/>
          <w:highlight w:val="none"/>
          <w:lang w:val="en-GB"/>
        </w:rPr>
        <w:t>本项目或独立分包出现下列条件之一则对应定作废标：</w:t>
      </w:r>
    </w:p>
    <w:p>
      <w:pPr>
        <w:numPr>
          <w:ilvl w:val="0"/>
          <w:numId w:val="3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符合资格条件的供应商，或对磋商文件实质性条款做出响应的供应商不足三家；</w:t>
      </w:r>
    </w:p>
    <w:p>
      <w:pPr>
        <w:numPr>
          <w:ilvl w:val="0"/>
          <w:numId w:val="3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供应商的报价均超过了采购预算控制范围且采购人不能接受或不符合磋商文件要求；</w:t>
      </w:r>
    </w:p>
    <w:p>
      <w:pPr>
        <w:numPr>
          <w:ilvl w:val="0"/>
          <w:numId w:val="3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采购过程出现影响公平公正竞争的违法、违规行为；</w:t>
      </w:r>
    </w:p>
    <w:p>
      <w:pPr>
        <w:numPr>
          <w:ilvl w:val="0"/>
          <w:numId w:val="34"/>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因重大变故，接财政部门通知本项目采购活动须即中止或取消。</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符合第1-3条其中之一废标条件时（符合本部分“特殊情形”的除外），将择日重新组织招标，同时将废标理由和处理决定知会各相关供应商。</w:t>
      </w:r>
    </w:p>
    <w:p>
      <w:pPr>
        <w:numPr>
          <w:ilvl w:val="0"/>
          <w:numId w:val="20"/>
        </w:numPr>
        <w:tabs>
          <w:tab w:val="left" w:pos="540"/>
        </w:tabs>
        <w:snapToGrid w:val="0"/>
        <w:spacing w:line="360" w:lineRule="auto"/>
        <w:rPr>
          <w:rFonts w:ascii="宋体" w:hAnsi="宋体" w:cs="宋体"/>
          <w:b/>
          <w:color w:val="auto"/>
          <w:szCs w:val="24"/>
          <w:highlight w:val="none"/>
          <w:lang w:val="en-GB"/>
        </w:rPr>
      </w:pPr>
      <w:bookmarkStart w:id="79" w:name="_Toc332090780"/>
      <w:r>
        <w:rPr>
          <w:rFonts w:hint="eastAsia" w:ascii="宋体" w:hAnsi="宋体" w:cs="宋体"/>
          <w:b/>
          <w:color w:val="auto"/>
          <w:szCs w:val="24"/>
          <w:highlight w:val="none"/>
          <w:lang w:val="en-GB"/>
        </w:rPr>
        <w:t>无效投标/响应行为的认定</w:t>
      </w:r>
      <w:bookmarkEnd w:id="79"/>
    </w:p>
    <w:p>
      <w:pPr>
        <w:numPr>
          <w:ilvl w:val="0"/>
          <w:numId w:val="35"/>
        </w:numPr>
        <w:tabs>
          <w:tab w:val="left" w:pos="540"/>
        </w:tabs>
        <w:snapToGrid w:val="0"/>
        <w:spacing w:line="360" w:lineRule="auto"/>
        <w:rPr>
          <w:rFonts w:ascii="宋体" w:hAnsi="宋体" w:cs="宋体"/>
          <w:color w:val="auto"/>
          <w:szCs w:val="24"/>
          <w:highlight w:val="none"/>
          <w:lang w:val="en-GB"/>
        </w:rPr>
      </w:pPr>
      <w:bookmarkStart w:id="80" w:name="_Toc276220269"/>
      <w:bookmarkStart w:id="81" w:name="_Toc528736192"/>
      <w:bookmarkStart w:id="82" w:name="_Toc275954897"/>
      <w:bookmarkStart w:id="83" w:name="_Toc136662926"/>
      <w:bookmarkStart w:id="84" w:name="_Toc136682902"/>
      <w:bookmarkStart w:id="85" w:name="_Toc119321137"/>
      <w:r>
        <w:rPr>
          <w:rFonts w:hint="eastAsia" w:ascii="宋体" w:hAnsi="宋体" w:cs="宋体"/>
          <w:color w:val="auto"/>
          <w:szCs w:val="24"/>
          <w:highlight w:val="none"/>
          <w:lang w:val="en-GB"/>
        </w:rPr>
        <w:t>不具备磋商文件中规定的供应商资格要求；</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磋商报价不符合磋商文件要求，或超出</w:t>
      </w:r>
      <w:r>
        <w:rPr>
          <w:rFonts w:hint="eastAsia" w:ascii="宋体" w:hAnsi="宋体" w:cs="宋体"/>
          <w:color w:val="auto"/>
          <w:szCs w:val="24"/>
          <w:highlight w:val="none"/>
        </w:rPr>
        <w:t>采购项目预算金额（最高报价上限价）</w:t>
      </w:r>
      <w:r>
        <w:rPr>
          <w:rFonts w:hint="eastAsia" w:ascii="宋体" w:hAnsi="宋体" w:cs="宋体"/>
          <w:color w:val="auto"/>
          <w:szCs w:val="24"/>
          <w:highlight w:val="none"/>
          <w:lang w:val="en-GB"/>
        </w:rPr>
        <w:t>；</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投标/响应主体不明确；不符合磋商文件中合格供应商的相关规定；货物或服务不符合法定和约定的合格性标准要求；</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以假借、挂靠他人名义或用串谋勾结等形式参与投标，在独立供应商之间构成非法互惠利益和同盟关系；</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单位负责人为同一人或者存在控股、管理关系的不同单位同时参与投标/响应并递交响应文件；</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同一家供应商递交两套或以上不同的响应文件（正本）；（注：分册属同一套文件。）</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未能有效通过初审检查，对约定必备的合格条件和重要关键内容出现实质性偏离；</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提供的中小企业声明与承诺等证明材料经认定后存在虚假或与事实不符的情形；提供虚假材料谋取中标/成交的；</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投标有效期不响应磋商文件要求；</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响应文件编制和装订严重不符合磋商文件要求；（注：装订不牢固或活页装订，或递交的响应文件份数与《供应商须知前附表》要求不符的，属于无效投标行为。）</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磋商文件明示盖公章处未加盖公章；</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磋商文件明示需签字或签章处未有法定代表人或全权代表签字或签章；</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拒绝、对抗磋商小组所作的决定或合理要求；</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投标方案、磋商报价表述不清晰或无法确定；</w:t>
      </w:r>
    </w:p>
    <w:p>
      <w:pPr>
        <w:numPr>
          <w:ilvl w:val="0"/>
          <w:numId w:val="3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符合磋商文件中载明会导致无效投标的其它规定和要求。</w:t>
      </w:r>
    </w:p>
    <w:p>
      <w:pPr>
        <w:numPr>
          <w:ilvl w:val="0"/>
          <w:numId w:val="2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对供应商全权代表的要求</w:t>
      </w:r>
      <w:bookmarkEnd w:id="77"/>
      <w:bookmarkEnd w:id="78"/>
      <w:bookmarkEnd w:id="80"/>
      <w:bookmarkEnd w:id="81"/>
      <w:bookmarkEnd w:id="82"/>
      <w:bookmarkEnd w:id="83"/>
      <w:bookmarkEnd w:id="84"/>
      <w:bookmarkEnd w:id="85"/>
    </w:p>
    <w:p>
      <w:pPr>
        <w:numPr>
          <w:ilvl w:val="0"/>
          <w:numId w:val="36"/>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供应商全权代表必须持身份证原件响应磋商小组的临时召唤，其现场所签署确认的文件均代表供应商的决定，并作为响应文件的补充内容具有不可撤消更改的法律效力。</w:t>
      </w:r>
    </w:p>
    <w:p>
      <w:pPr>
        <w:numPr>
          <w:ilvl w:val="0"/>
          <w:numId w:val="36"/>
        </w:numPr>
        <w:tabs>
          <w:tab w:val="left" w:pos="42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供应商全权代表在现场所签署确认的文件均代表供应商的决定，并作为响应文件的补充内容具有不可撤消更改的同等效力。如有以下情形之一的，该供应商将被视为自动放弃投标资格并作无效投标处理：</w:t>
      </w:r>
    </w:p>
    <w:p>
      <w:pPr>
        <w:numPr>
          <w:ilvl w:val="1"/>
          <w:numId w:val="37"/>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供应商全权代表未携带有效身份证明到达评审现场的；</w:t>
      </w:r>
    </w:p>
    <w:p>
      <w:pPr>
        <w:numPr>
          <w:ilvl w:val="1"/>
          <w:numId w:val="37"/>
        </w:numPr>
        <w:tabs>
          <w:tab w:val="left" w:pos="540"/>
        </w:tabs>
        <w:spacing w:line="360" w:lineRule="auto"/>
        <w:ind w:left="540" w:hanging="540"/>
        <w:rPr>
          <w:rFonts w:ascii="宋体" w:hAnsi="宋体" w:cs="宋体"/>
          <w:color w:val="auto"/>
          <w:szCs w:val="24"/>
          <w:highlight w:val="none"/>
          <w:lang w:val="en-GB"/>
        </w:rPr>
      </w:pPr>
      <w:r>
        <w:rPr>
          <w:rFonts w:hint="eastAsia" w:ascii="宋体" w:hAnsi="宋体" w:cs="宋体"/>
          <w:color w:val="auto"/>
          <w:szCs w:val="24"/>
          <w:highlight w:val="none"/>
          <w:lang w:val="en-GB"/>
        </w:rPr>
        <w:t>供应商全权代表未能在规定时间内到达评审现场的。</w:t>
      </w:r>
    </w:p>
    <w:p>
      <w:pPr>
        <w:numPr>
          <w:ilvl w:val="0"/>
          <w:numId w:val="2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采购终止的情形</w:t>
      </w:r>
    </w:p>
    <w:p>
      <w:pPr>
        <w:tabs>
          <w:tab w:val="left" w:pos="510"/>
          <w:tab w:val="left" w:pos="540"/>
        </w:tabs>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出现下列情形之一的，采购人或者采购代理机构应当终止竞争性磋商采购活动，发布项目终止公告并说明原因，重新开展采购活动：</w:t>
      </w:r>
    </w:p>
    <w:p>
      <w:pPr>
        <w:numPr>
          <w:ilvl w:val="1"/>
          <w:numId w:val="3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因情况变化，不再符合规定的竞争性磋商采购方式适用情形的；</w:t>
      </w:r>
    </w:p>
    <w:p>
      <w:pPr>
        <w:numPr>
          <w:ilvl w:val="1"/>
          <w:numId w:val="3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出现影响采购公正的违法、违规行为的；</w:t>
      </w:r>
    </w:p>
    <w:p>
      <w:pPr>
        <w:numPr>
          <w:ilvl w:val="1"/>
          <w:numId w:val="38"/>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在采购过程中符合要求的供应商或者报价未超过采购预算的供应商不足3家的。</w:t>
      </w:r>
    </w:p>
    <w:p>
      <w:pPr>
        <w:tabs>
          <w:tab w:val="left" w:pos="510"/>
          <w:tab w:val="left" w:pos="540"/>
        </w:tabs>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（符合本部分“特殊情形”的除外）</w:t>
      </w:r>
    </w:p>
    <w:p>
      <w:pPr>
        <w:numPr>
          <w:ilvl w:val="0"/>
          <w:numId w:val="2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特殊情形</w:t>
      </w:r>
    </w:p>
    <w:p>
      <w:pPr>
        <w:numPr>
          <w:ilvl w:val="1"/>
          <w:numId w:val="3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采用竞争性磋商采购方式采购的政府购买服务项目（含政府和社会资本合作项目），在采购过程中符合要求的供应商（社会资本）只有2家的，竞争性磋商采购活动可以继续进行。</w:t>
      </w:r>
    </w:p>
    <w:p>
      <w:pPr>
        <w:numPr>
          <w:ilvl w:val="1"/>
          <w:numId w:val="3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符合法律规定的情形（《政府采购竞争性磋商采购方式管理暂行办法》第三条（四）市场竞争不充分的科研项目，以及需要扶持的科技成果转化项目）的，提交最后报价的供应商可以为2家。</w:t>
      </w:r>
    </w:p>
    <w:p>
      <w:pPr>
        <w:pStyle w:val="47"/>
        <w:spacing w:line="360" w:lineRule="auto"/>
        <w:rPr>
          <w:rFonts w:ascii="宋体" w:hAnsi="宋体" w:cs="宋体"/>
          <w:color w:val="auto"/>
          <w:highlight w:val="none"/>
          <w:lang w:val="en-GB"/>
        </w:rPr>
      </w:pPr>
    </w:p>
    <w:p>
      <w:pPr>
        <w:pStyle w:val="6"/>
        <w:spacing w:line="360" w:lineRule="auto"/>
        <w:jc w:val="center"/>
        <w:rPr>
          <w:rFonts w:ascii="宋体" w:hAnsi="宋体" w:cs="宋体"/>
          <w:color w:val="auto"/>
          <w:sz w:val="24"/>
          <w:szCs w:val="24"/>
          <w:highlight w:val="none"/>
        </w:rPr>
      </w:pPr>
      <w:bookmarkStart w:id="86" w:name="_Toc9912"/>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六、评审方法及标准</w:t>
      </w:r>
      <w:bookmarkEnd w:id="86"/>
    </w:p>
    <w:p>
      <w:pPr>
        <w:spacing w:line="360" w:lineRule="auto"/>
        <w:rPr>
          <w:rFonts w:ascii="宋体" w:hAnsi="宋体" w:cs="宋体"/>
          <w:b/>
          <w:color w:val="auto"/>
          <w:szCs w:val="24"/>
          <w:highlight w:val="none"/>
        </w:rPr>
      </w:pPr>
      <w:r>
        <w:rPr>
          <w:rFonts w:hint="eastAsia" w:ascii="宋体" w:hAnsi="宋体" w:cs="宋体"/>
          <w:color w:val="auto"/>
          <w:szCs w:val="24"/>
          <w:highlight w:val="none"/>
        </w:rPr>
        <w:t>附表一：</w:t>
      </w:r>
    </w:p>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资格性审查标准</w:t>
      </w:r>
    </w:p>
    <w:tbl>
      <w:tblPr>
        <w:tblStyle w:val="31"/>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序号</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1</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kern w:val="1"/>
                <w:szCs w:val="24"/>
                <w:highlight w:val="none"/>
              </w:rPr>
              <w:t>供应商应具备</w:t>
            </w:r>
            <w:r>
              <w:rPr>
                <w:rFonts w:hint="eastAsia" w:ascii="宋体" w:hAnsi="宋体" w:cs="宋体"/>
                <w:color w:val="auto"/>
                <w:szCs w:val="24"/>
                <w:highlight w:val="none"/>
                <w:lang w:val="hr-HR"/>
              </w:rPr>
              <w:t>《中华人民共和国政府采购法》第二十二条规定的条件</w:t>
            </w:r>
            <w:r>
              <w:rPr>
                <w:rFonts w:hint="eastAsia" w:ascii="宋体" w:hAnsi="宋体" w:cs="宋体"/>
                <w:color w:val="auto"/>
                <w:kern w:val="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2</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kern w:val="1"/>
                <w:szCs w:val="24"/>
                <w:highlight w:val="none"/>
              </w:rPr>
            </w:pPr>
            <w:r>
              <w:rPr>
                <w:rFonts w:hint="eastAsia" w:ascii="宋体" w:hAnsi="宋体" w:cs="宋体"/>
                <w:color w:val="auto"/>
                <w:szCs w:val="24"/>
                <w:highlight w:val="none"/>
              </w:rPr>
              <w:t>供应商须在中国大陆境内合法注册，能独立承担民事责任，</w:t>
            </w:r>
            <w:r>
              <w:rPr>
                <w:rStyle w:val="34"/>
                <w:rFonts w:hint="eastAsia" w:ascii="宋体" w:hAnsi="宋体" w:eastAsia="宋体" w:cs="宋体"/>
                <w:b w:val="0"/>
                <w:bCs w:val="0"/>
                <w:color w:val="auto"/>
                <w:spacing w:val="0"/>
                <w:szCs w:val="24"/>
                <w:highlight w:val="none"/>
                <w:lang w:val="en-US" w:eastAsia="zh-CN"/>
              </w:rPr>
              <w:t>供应商若为分公司，须同时出具总公司的营业执照以及总公司的投标授权书</w:t>
            </w: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3</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Style w:val="34"/>
                <w:rFonts w:hint="eastAsia" w:ascii="宋体" w:hAnsi="宋体" w:eastAsia="宋体" w:cs="宋体"/>
                <w:b w:val="0"/>
                <w:bCs w:val="0"/>
                <w:color w:val="auto"/>
                <w:spacing w:val="0"/>
                <w:szCs w:val="24"/>
                <w:highlight w:val="none"/>
                <w:lang w:val="en-US" w:eastAsia="zh-CN"/>
              </w:rPr>
              <w:t>供应商未被列入“信用中国”网站(www.creditchina.gov.cn)“记录失信被执行人或税收违法黑名单（即原“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4</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Style w:val="34"/>
                <w:rFonts w:hint="eastAsia" w:ascii="宋体" w:hAnsi="宋体" w:eastAsia="宋体" w:cs="宋体"/>
                <w:b w:val="0"/>
                <w:bCs w:val="0"/>
                <w:color w:val="auto"/>
                <w:spacing w:val="0"/>
                <w:szCs w:val="24"/>
                <w:highlight w:val="none"/>
                <w:lang w:val="en-US" w:eastAsia="zh-CN"/>
              </w:rPr>
              <w:t>单位负责人为同一人或者存在直接控股、管理关系的不同投标人，不得同时参加本采购项目（</w:t>
            </w:r>
            <w:r>
              <w:rPr>
                <w:rStyle w:val="34"/>
                <w:rFonts w:hint="eastAsia" w:ascii="宋体" w:hAnsi="宋体" w:cs="宋体"/>
                <w:b w:val="0"/>
                <w:bCs w:val="0"/>
                <w:color w:val="auto"/>
                <w:spacing w:val="0"/>
                <w:szCs w:val="24"/>
                <w:highlight w:val="none"/>
                <w:lang w:val="en-US" w:eastAsia="zh-CN"/>
              </w:rPr>
              <w:t>包组</w:t>
            </w:r>
            <w:r>
              <w:rPr>
                <w:rStyle w:val="34"/>
                <w:rFonts w:hint="eastAsia" w:ascii="宋体" w:hAnsi="宋体" w:eastAsia="宋体" w:cs="宋体"/>
                <w:b w:val="0"/>
                <w:bCs w:val="0"/>
                <w:color w:val="auto"/>
                <w:spacing w:val="0"/>
                <w:szCs w:val="24"/>
                <w:highlight w:val="none"/>
                <w:lang w:val="en-US" w:eastAsia="zh-CN"/>
              </w:rPr>
              <w:t>）投标（响应）。为本项目提供整体设计、 规范编制或者项目管理、监理、检测等服务的投标人，不得再参与本项目投标（响应）</w:t>
            </w:r>
            <w:r>
              <w:rPr>
                <w:rStyle w:val="34"/>
                <w:rFonts w:hint="eastAsia" w:ascii="宋体" w:hAnsi="宋体" w:cs="宋体"/>
                <w:b w:val="0"/>
                <w:bCs w:val="0"/>
                <w:color w:val="auto"/>
                <w:spacing w:val="0"/>
                <w:szCs w:val="24"/>
                <w:highlight w:val="none"/>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供应商必须具有</w:t>
            </w:r>
            <w:r>
              <w:rPr>
                <w:rStyle w:val="34"/>
                <w:rFonts w:hint="eastAsia" w:ascii="宋体" w:hAnsi="宋体" w:cs="宋体"/>
                <w:b w:val="0"/>
                <w:bCs w:val="0"/>
                <w:color w:val="auto"/>
                <w:spacing w:val="0"/>
                <w:szCs w:val="24"/>
                <w:highlight w:val="none"/>
                <w:lang w:val="en-US" w:eastAsia="zh-CN"/>
              </w:rPr>
              <w:t>国家金融监督管理总局（原中国银行保险监督管理委员会）</w:t>
            </w:r>
            <w:r>
              <w:rPr>
                <w:rStyle w:val="34"/>
                <w:rFonts w:hint="eastAsia" w:ascii="宋体" w:hAnsi="宋体" w:eastAsia="宋体" w:cs="宋体"/>
                <w:b w:val="0"/>
                <w:bCs w:val="0"/>
                <w:color w:val="auto"/>
                <w:spacing w:val="0"/>
                <w:szCs w:val="24"/>
                <w:highlight w:val="none"/>
                <w:lang w:val="en-US" w:eastAsia="zh-CN"/>
              </w:rPr>
              <w:t>颁发的《经营保险业务许可证》</w:t>
            </w:r>
            <w:r>
              <w:rPr>
                <w:rFonts w:hint="eastAsia"/>
                <w:color w:val="auto"/>
                <w:highlight w:val="none"/>
              </w:rPr>
              <w:t>（分支机构投标的，若有总公司有效授权，总公司取得的相关资质证书对分支机构有效，一个总公司只能有一个分支机构参与本项目投标，如同一总公司的多个分支机构参与本项目投标，则按报名的先后顺序，取最先报名者为有效</w:t>
            </w:r>
            <w:r>
              <w:rPr>
                <w:rFonts w:hint="eastAsia"/>
                <w:color w:val="auto"/>
                <w:highlight w:val="none"/>
                <w:lang w:eastAsia="zh-CN"/>
              </w:rPr>
              <w:t>供应商</w:t>
            </w:r>
            <w:r>
              <w:rPr>
                <w:rFonts w:hint="eastAsia"/>
                <w:color w:val="auto"/>
                <w:highlight w:val="none"/>
              </w:rPr>
              <w:t>）</w:t>
            </w:r>
            <w:r>
              <w:rPr>
                <w:rStyle w:val="34"/>
                <w:rFonts w:hint="eastAsia" w:ascii="宋体" w:hAnsi="宋体" w:cs="宋体"/>
                <w:b w:val="0"/>
                <w:bCs w:val="0"/>
                <w:color w:val="auto"/>
                <w:spacing w:val="0"/>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6</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本项目不接受磋商联合体</w:t>
            </w:r>
            <w:r>
              <w:rPr>
                <w:rFonts w:hint="eastAsia" w:ascii="宋体" w:hAnsi="宋体" w:cs="宋体"/>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87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4"/>
                <w:highlight w:val="none"/>
              </w:rPr>
            </w:pPr>
            <w:r>
              <w:rPr>
                <w:rStyle w:val="34"/>
                <w:rFonts w:hint="eastAsia" w:ascii="宋体" w:hAnsi="宋体" w:cs="宋体"/>
                <w:b w:val="0"/>
                <w:bCs w:val="0"/>
                <w:color w:val="auto"/>
                <w:spacing w:val="0"/>
                <w:szCs w:val="24"/>
                <w:highlight w:val="none"/>
                <w:lang w:val="en-US" w:eastAsia="zh-CN"/>
              </w:rPr>
              <w:t>本项目不属于专门面向中小企业采购的项目。本项目为服务类项目；根据中小企业划分标准，本项目所属行业为其他未列明行业。</w:t>
            </w:r>
          </w:p>
        </w:tc>
      </w:tr>
    </w:tbl>
    <w:p>
      <w:pPr>
        <w:rPr>
          <w:rFonts w:hint="eastAsia"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表二：</w:t>
      </w:r>
    </w:p>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符合性审查标准</w:t>
      </w:r>
    </w:p>
    <w:tbl>
      <w:tblPr>
        <w:tblStyle w:val="31"/>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序号</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1</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szCs w:val="24"/>
                <w:highlight w:val="none"/>
              </w:rPr>
              <w:t>按照</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文件规定要求签署、盖章且响应文件有法定代表人签字或盖章（或签字人有法定代表人有效授权书）的；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2</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szCs w:val="24"/>
                <w:highlight w:val="none"/>
              </w:rPr>
              <w:t>磋商承诺函已提交并符合竞争性磋商文件要求的；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3</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szCs w:val="24"/>
                <w:highlight w:val="none"/>
              </w:rPr>
              <w:t>报价不高于采购预算/控制总额；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4</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szCs w:val="24"/>
                <w:highlight w:val="none"/>
              </w:rPr>
              <w:t>响应文件没有竞争性磋商文件中规定的其它无效磋商条款的；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4"/>
                <w:highlight w:val="none"/>
              </w:rPr>
            </w:pPr>
            <w:r>
              <w:rPr>
                <w:rFonts w:hint="eastAsia" w:ascii="宋体" w:hAnsi="宋体" w:cs="宋体"/>
                <w:color w:val="auto"/>
                <w:szCs w:val="24"/>
                <w:highlight w:val="none"/>
              </w:rPr>
              <w:t>完全满足</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文件中标注“★”的条款及要求（如有）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6</w:t>
            </w:r>
          </w:p>
        </w:tc>
        <w:tc>
          <w:tcPr>
            <w:tcW w:w="842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4"/>
                <w:highlight w:val="none"/>
              </w:rPr>
            </w:pPr>
            <w:r>
              <w:rPr>
                <w:rFonts w:hint="eastAsia" w:ascii="宋体" w:hAnsi="宋体" w:cs="宋体"/>
                <w:color w:val="auto"/>
                <w:szCs w:val="24"/>
                <w:highlight w:val="none"/>
              </w:rPr>
              <w:t>按有关法律、法规、规章不属于磋商无效的。</w:t>
            </w:r>
          </w:p>
        </w:tc>
      </w:tr>
    </w:tbl>
    <w:p>
      <w:pPr>
        <w:spacing w:line="360" w:lineRule="auto"/>
        <w:rPr>
          <w:rFonts w:ascii="宋体" w:hAnsi="宋体" w:cs="宋体"/>
          <w:color w:val="auto"/>
          <w:szCs w:val="24"/>
          <w:highlight w:val="none"/>
        </w:rPr>
      </w:pPr>
    </w:p>
    <w:p>
      <w:pPr>
        <w:pStyle w:val="49"/>
        <w:spacing w:line="360" w:lineRule="auto"/>
        <w:rPr>
          <w:rFonts w:hint="default" w:cs="宋体"/>
          <w:color w:val="auto"/>
          <w:highlight w:val="none"/>
        </w:rPr>
      </w:pPr>
    </w:p>
    <w:p>
      <w:pPr>
        <w:numPr>
          <w:ilvl w:val="0"/>
          <w:numId w:val="40"/>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评审方法</w:t>
      </w:r>
    </w:p>
    <w:p>
      <w:pPr>
        <w:numPr>
          <w:ilvl w:val="0"/>
          <w:numId w:val="41"/>
        </w:numPr>
        <w:tabs>
          <w:tab w:val="left" w:pos="51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评审方法：综合评分法</w:t>
      </w:r>
    </w:p>
    <w:p>
      <w:pPr>
        <w:numPr>
          <w:ilvl w:val="0"/>
          <w:numId w:val="41"/>
        </w:numPr>
        <w:tabs>
          <w:tab w:val="left" w:pos="51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小组将严格按照本竞争性磋商文件的评审标准与方法，在符合有效磋商范畴且最大限度地满足竞争性磋商文件实质性要求前提下，对供应商进行综合评审和独立评分。评审因素评分以该项“满分值”或“分值”为上限，“0”分为下限。如供应商未能按评审标准中的要求提供相关证明材料的，不能获取相应分值。</w:t>
      </w:r>
    </w:p>
    <w:p>
      <w:pPr>
        <w:numPr>
          <w:ilvl w:val="0"/>
          <w:numId w:val="41"/>
        </w:numPr>
        <w:tabs>
          <w:tab w:val="left" w:pos="51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本项目的分值构成：</w:t>
      </w:r>
    </w:p>
    <w:tbl>
      <w:tblPr>
        <w:tblStyle w:val="31"/>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07" w:type="dxa"/>
            <w:shd w:val="clear" w:color="auto" w:fill="A4A4A4"/>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评审部分</w:t>
            </w:r>
          </w:p>
        </w:tc>
        <w:tc>
          <w:tcPr>
            <w:tcW w:w="6177" w:type="dxa"/>
            <w:shd w:val="clear" w:color="auto" w:fill="A4A4A4"/>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407" w:type="dxa"/>
            <w:vAlign w:val="center"/>
          </w:tcPr>
          <w:p>
            <w:pPr>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技术部分</w:t>
            </w:r>
          </w:p>
        </w:tc>
        <w:tc>
          <w:tcPr>
            <w:tcW w:w="6177" w:type="dxa"/>
            <w:vAlign w:val="center"/>
          </w:tcPr>
          <w:p>
            <w:pPr>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407" w:type="dxa"/>
            <w:vAlign w:val="center"/>
          </w:tcPr>
          <w:p>
            <w:pPr>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商务部分</w:t>
            </w:r>
          </w:p>
        </w:tc>
        <w:tc>
          <w:tcPr>
            <w:tcW w:w="6177" w:type="dxa"/>
            <w:vAlign w:val="center"/>
          </w:tcPr>
          <w:p>
            <w:pPr>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40</w:t>
            </w:r>
          </w:p>
        </w:tc>
      </w:tr>
    </w:tbl>
    <w:p>
      <w:pPr>
        <w:numPr>
          <w:ilvl w:val="0"/>
          <w:numId w:val="41"/>
        </w:numPr>
        <w:tabs>
          <w:tab w:val="left" w:pos="510"/>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评审部分得分及评分汇总：</w:t>
      </w:r>
    </w:p>
    <w:tbl>
      <w:tblPr>
        <w:tblStyle w:val="3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470" w:type="dxa"/>
            <w:shd w:val="clear" w:color="auto" w:fill="A4A4A4"/>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评审部分得分</w:t>
            </w:r>
          </w:p>
        </w:tc>
        <w:tc>
          <w:tcPr>
            <w:tcW w:w="7152" w:type="dxa"/>
            <w:shd w:val="clear" w:color="auto" w:fill="A4A4A4"/>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得分计算方式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470" w:type="dxa"/>
            <w:vAlign w:val="center"/>
          </w:tcPr>
          <w:p>
            <w:pPr>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技术部分得分</w:t>
            </w:r>
          </w:p>
        </w:tc>
        <w:tc>
          <w:tcPr>
            <w:tcW w:w="715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lang w:val="en-GB"/>
              </w:rPr>
              <w:t>各评委评分总和÷评委人数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470" w:type="dxa"/>
            <w:vAlign w:val="center"/>
          </w:tcPr>
          <w:p>
            <w:pPr>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商务部分得分</w:t>
            </w:r>
          </w:p>
        </w:tc>
        <w:tc>
          <w:tcPr>
            <w:tcW w:w="715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lang w:val="en-GB"/>
              </w:rPr>
              <w:t>各评委评分总和÷评委人数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470" w:type="dxa"/>
            <w:vAlign w:val="center"/>
          </w:tcPr>
          <w:p>
            <w:pPr>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价格部分得分</w:t>
            </w:r>
          </w:p>
        </w:tc>
        <w:tc>
          <w:tcPr>
            <w:tcW w:w="7152"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lang w:val="en-GB"/>
              </w:rPr>
              <w:t>按统一公式计算得分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470"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lang w:val="en-GB"/>
              </w:rPr>
              <w:t>评标总得分</w:t>
            </w:r>
          </w:p>
        </w:tc>
        <w:tc>
          <w:tcPr>
            <w:tcW w:w="7152" w:type="dxa"/>
            <w:vAlign w:val="center"/>
          </w:tcPr>
          <w:p>
            <w:pPr>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技术部分得分＋商务部分得分＋价格部分得分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622" w:type="dxa"/>
            <w:gridSpan w:val="2"/>
            <w:vAlign w:val="center"/>
          </w:tcPr>
          <w:p>
            <w:pPr>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注：评委评分时可打至小数后第二位，汇总计算时将按四舍五入的原则精确至小数点后两位，如9.99。</w:t>
            </w:r>
          </w:p>
        </w:tc>
      </w:tr>
    </w:tbl>
    <w:p>
      <w:pPr>
        <w:tabs>
          <w:tab w:val="left" w:pos="540"/>
        </w:tabs>
        <w:snapToGrid w:val="0"/>
        <w:spacing w:line="360" w:lineRule="auto"/>
        <w:ind w:left="510"/>
        <w:rPr>
          <w:rFonts w:ascii="宋体" w:hAnsi="宋体" w:cs="宋体"/>
          <w:color w:val="auto"/>
          <w:szCs w:val="24"/>
          <w:highlight w:val="none"/>
          <w:lang w:val="en-GB"/>
        </w:rPr>
      </w:pPr>
    </w:p>
    <w:p>
      <w:pPr>
        <w:numPr>
          <w:ilvl w:val="0"/>
          <w:numId w:val="40"/>
        </w:numPr>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评审标准</w:t>
      </w:r>
    </w:p>
    <w:p>
      <w:pPr>
        <w:numPr>
          <w:ilvl w:val="0"/>
          <w:numId w:val="42"/>
        </w:numPr>
        <w:tabs>
          <w:tab w:val="left" w:pos="420"/>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rPr>
        <w:t>技术</w:t>
      </w:r>
      <w:r>
        <w:rPr>
          <w:rFonts w:hint="eastAsia" w:ascii="宋体" w:hAnsi="宋体" w:cs="宋体"/>
          <w:b/>
          <w:color w:val="auto"/>
          <w:szCs w:val="24"/>
          <w:highlight w:val="none"/>
          <w:lang w:val="en-GB"/>
        </w:rPr>
        <w:t>部分评审标准</w:t>
      </w:r>
    </w:p>
    <w:tbl>
      <w:tblPr>
        <w:tblStyle w:val="3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901"/>
        <w:gridCol w:w="753"/>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400" w:type="dxa"/>
            <w:gridSpan w:val="4"/>
            <w:shd w:val="clear" w:color="auto" w:fill="A4A4A4"/>
            <w:vAlign w:val="center"/>
          </w:tcPr>
          <w:p>
            <w:pPr>
              <w:spacing w:line="360" w:lineRule="auto"/>
              <w:jc w:val="center"/>
              <w:rPr>
                <w:rFonts w:ascii="宋体" w:hAnsi="宋体" w:cs="宋体"/>
                <w:color w:val="auto"/>
                <w:szCs w:val="24"/>
                <w:highlight w:val="none"/>
              </w:rPr>
            </w:pPr>
            <w:r>
              <w:rPr>
                <w:rFonts w:hint="eastAsia" w:ascii="宋体" w:hAnsi="宋体" w:cs="宋体"/>
                <w:b/>
                <w:bCs/>
                <w:color w:val="auto"/>
                <w:kern w:val="0"/>
                <w:szCs w:val="24"/>
                <w:highlight w:val="none"/>
              </w:rPr>
              <w:t>技术部分（</w:t>
            </w:r>
            <w:r>
              <w:rPr>
                <w:rFonts w:hint="eastAsia" w:ascii="宋体" w:hAnsi="宋体" w:cs="宋体"/>
                <w:b/>
                <w:bCs/>
                <w:color w:val="auto"/>
                <w:kern w:val="0"/>
                <w:szCs w:val="24"/>
                <w:highlight w:val="none"/>
                <w:lang w:val="en-US" w:eastAsia="zh-CN"/>
              </w:rPr>
              <w:t>60</w:t>
            </w:r>
            <w:r>
              <w:rPr>
                <w:rFonts w:hint="eastAsia" w:ascii="宋体" w:hAnsi="宋体" w:cs="宋体"/>
                <w:b/>
                <w:bCs/>
                <w:color w:val="auto"/>
                <w:kern w:val="0"/>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86" w:type="dxa"/>
            <w:gridSpan w:val="2"/>
            <w:shd w:val="clear" w:color="auto" w:fill="A4A4A4"/>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评审子项</w:t>
            </w:r>
          </w:p>
        </w:tc>
        <w:tc>
          <w:tcPr>
            <w:tcW w:w="753" w:type="dxa"/>
            <w:shd w:val="clear" w:color="auto" w:fill="A4A4A4"/>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分值</w:t>
            </w:r>
          </w:p>
        </w:tc>
        <w:tc>
          <w:tcPr>
            <w:tcW w:w="5261" w:type="dxa"/>
            <w:shd w:val="clear" w:color="auto" w:fill="A4A4A4"/>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评分标准和指引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8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901"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color w:val="auto"/>
                <w:sz w:val="24"/>
                <w:szCs w:val="24"/>
                <w:highlight w:val="none"/>
              </w:rPr>
            </w:pPr>
            <w:r>
              <w:rPr>
                <w:color w:val="auto"/>
                <w:highlight w:val="none"/>
              </w:rPr>
              <w:t>项目理解程度</w:t>
            </w:r>
          </w:p>
        </w:tc>
        <w:tc>
          <w:tcPr>
            <w:tcW w:w="753"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15</w:t>
            </w:r>
          </w:p>
        </w:tc>
        <w:tc>
          <w:tcPr>
            <w:tcW w:w="5261" w:type="dxa"/>
            <w:vAlign w:val="center"/>
          </w:tcPr>
          <w:p>
            <w:pPr>
              <w:keepNext w:val="0"/>
              <w:keepLines w:val="0"/>
              <w:pageBreakBefore w:val="0"/>
              <w:widowControl w:val="0"/>
              <w:kinsoku/>
              <w:wordWrap/>
              <w:overflowPunct/>
              <w:topLinePunct w:val="0"/>
              <w:bidi w:val="0"/>
              <w:spacing w:line="240" w:lineRule="auto"/>
              <w:jc w:val="left"/>
              <w:textAlignment w:val="auto"/>
              <w:rPr>
                <w:color w:val="auto"/>
                <w:highlight w:val="none"/>
              </w:rPr>
            </w:pPr>
            <w:r>
              <w:rPr>
                <w:color w:val="auto"/>
                <w:highlight w:val="none"/>
              </w:rPr>
              <w:t>根据供应商对本项目背景（内容包括但不限于工作目标、项目背景、项目重点难点分析等）的理解程度</w:t>
            </w:r>
            <w:r>
              <w:rPr>
                <w:rFonts w:hint="eastAsia" w:ascii="宋体" w:hAnsi="宋体" w:cs="宋体"/>
                <w:color w:val="auto"/>
                <w:sz w:val="24"/>
                <w:szCs w:val="24"/>
                <w:highlight w:val="none"/>
              </w:rPr>
              <w:t>进行综合评审</w:t>
            </w:r>
            <w:r>
              <w:rPr>
                <w:color w:val="auto"/>
                <w:highlight w:val="none"/>
              </w:rPr>
              <w:t>：</w:t>
            </w:r>
          </w:p>
          <w:p>
            <w:pPr>
              <w:keepNext w:val="0"/>
              <w:keepLines w:val="0"/>
              <w:pageBreakBefore w:val="0"/>
              <w:widowControl w:val="0"/>
              <w:kinsoku/>
              <w:wordWrap/>
              <w:overflowPunct/>
              <w:topLinePunct w:val="0"/>
              <w:bidi w:val="0"/>
              <w:spacing w:line="240" w:lineRule="auto"/>
              <w:jc w:val="left"/>
              <w:textAlignment w:val="auto"/>
              <w:rPr>
                <w:color w:val="auto"/>
                <w:highlight w:val="none"/>
              </w:rPr>
            </w:pPr>
            <w:r>
              <w:rPr>
                <w:color w:val="auto"/>
                <w:highlight w:val="none"/>
              </w:rPr>
              <w:t xml:space="preserve"> </w:t>
            </w:r>
            <w:r>
              <w:rPr>
                <w:rFonts w:hint="eastAsia"/>
                <w:color w:val="auto"/>
                <w:highlight w:val="none"/>
                <w:lang w:val="en-US" w:eastAsia="zh-CN"/>
              </w:rPr>
              <w:t>优：</w:t>
            </w:r>
            <w:r>
              <w:rPr>
                <w:color w:val="auto"/>
                <w:highlight w:val="none"/>
              </w:rPr>
              <w:t>对项目背景（包括但不限于工作目标、项目背景、项目重点难点分析等）熟悉，十分了解本次项目的重点难点，分析合理、应对措施得当，方案全面且可行性强，得</w:t>
            </w:r>
            <w:r>
              <w:rPr>
                <w:rFonts w:hint="eastAsia"/>
                <w:color w:val="auto"/>
                <w:highlight w:val="none"/>
                <w:lang w:val="en-US" w:eastAsia="zh-CN"/>
              </w:rPr>
              <w:t>15</w:t>
            </w:r>
            <w:r>
              <w:rPr>
                <w:rFonts w:hint="eastAsia"/>
                <w:color w:val="auto"/>
                <w:highlight w:val="none"/>
                <w:lang w:eastAsia="zh-CN"/>
              </w:rPr>
              <w:t>分</w:t>
            </w:r>
            <w:r>
              <w:rPr>
                <w:color w:val="auto"/>
                <w:highlight w:val="none"/>
              </w:rPr>
              <w:t xml:space="preserve">； </w:t>
            </w:r>
          </w:p>
          <w:p>
            <w:pPr>
              <w:keepNext w:val="0"/>
              <w:keepLines w:val="0"/>
              <w:pageBreakBefore w:val="0"/>
              <w:widowControl w:val="0"/>
              <w:kinsoku/>
              <w:wordWrap/>
              <w:overflowPunct/>
              <w:topLinePunct w:val="0"/>
              <w:bidi w:val="0"/>
              <w:spacing w:line="240" w:lineRule="auto"/>
              <w:jc w:val="left"/>
              <w:textAlignment w:val="auto"/>
              <w:rPr>
                <w:color w:val="auto"/>
                <w:highlight w:val="none"/>
              </w:rPr>
            </w:pPr>
            <w:r>
              <w:rPr>
                <w:rFonts w:hint="eastAsia"/>
                <w:color w:val="auto"/>
                <w:highlight w:val="none"/>
                <w:lang w:val="en-US" w:eastAsia="zh-CN"/>
              </w:rPr>
              <w:t>良：</w:t>
            </w:r>
            <w:r>
              <w:rPr>
                <w:color w:val="auto"/>
                <w:highlight w:val="none"/>
              </w:rPr>
              <w:t>对项目背景（包括但不限于工作目标、项目背景、项目重点难点分析等）</w:t>
            </w:r>
            <w:r>
              <w:rPr>
                <w:rFonts w:hint="eastAsia"/>
                <w:color w:val="auto"/>
                <w:highlight w:val="none"/>
                <w:lang w:val="en-US" w:eastAsia="zh-CN"/>
              </w:rPr>
              <w:t>较为</w:t>
            </w:r>
            <w:r>
              <w:rPr>
                <w:color w:val="auto"/>
                <w:highlight w:val="none"/>
              </w:rPr>
              <w:t>了解，对重点难点理解较为准确，分析较为合理、应对措施较好，方案</w:t>
            </w:r>
            <w:r>
              <w:rPr>
                <w:rFonts w:hint="eastAsia"/>
                <w:color w:val="auto"/>
                <w:highlight w:val="none"/>
                <w:lang w:val="en-US" w:eastAsia="zh-CN"/>
              </w:rPr>
              <w:t>较为</w:t>
            </w:r>
            <w:r>
              <w:rPr>
                <w:color w:val="auto"/>
                <w:highlight w:val="none"/>
              </w:rPr>
              <w:t>全面，得</w:t>
            </w:r>
            <w:r>
              <w:rPr>
                <w:rFonts w:hint="eastAsia"/>
                <w:color w:val="auto"/>
                <w:highlight w:val="none"/>
                <w:lang w:val="en-US" w:eastAsia="zh-CN"/>
              </w:rPr>
              <w:t>10</w:t>
            </w:r>
            <w:r>
              <w:rPr>
                <w:rFonts w:hint="eastAsia"/>
                <w:color w:val="auto"/>
                <w:highlight w:val="none"/>
                <w:lang w:eastAsia="zh-CN"/>
              </w:rPr>
              <w:t>分</w:t>
            </w:r>
            <w:r>
              <w:rPr>
                <w:color w:val="auto"/>
                <w:highlight w:val="none"/>
              </w:rPr>
              <w:t>；</w:t>
            </w:r>
          </w:p>
          <w:p>
            <w:pPr>
              <w:keepNext w:val="0"/>
              <w:keepLines w:val="0"/>
              <w:pageBreakBefore w:val="0"/>
              <w:widowControl w:val="0"/>
              <w:kinsoku/>
              <w:wordWrap/>
              <w:overflowPunct/>
              <w:topLinePunct w:val="0"/>
              <w:bidi w:val="0"/>
              <w:spacing w:line="240" w:lineRule="auto"/>
              <w:jc w:val="left"/>
              <w:textAlignment w:val="auto"/>
              <w:rPr>
                <w:color w:val="auto"/>
                <w:highlight w:val="none"/>
              </w:rPr>
            </w:pPr>
            <w:r>
              <w:rPr>
                <w:rFonts w:hint="eastAsia"/>
                <w:color w:val="auto"/>
                <w:highlight w:val="none"/>
                <w:lang w:val="en-US" w:eastAsia="zh-CN"/>
              </w:rPr>
              <w:t>差：</w:t>
            </w:r>
            <w:r>
              <w:rPr>
                <w:color w:val="auto"/>
                <w:highlight w:val="none"/>
              </w:rPr>
              <w:t>对项目背景（包括但不限于工作目标、项目背景、项目重点难点分析等）基本了解，对重点难点理解</w:t>
            </w:r>
            <w:r>
              <w:rPr>
                <w:rFonts w:hint="eastAsia"/>
                <w:color w:val="auto"/>
                <w:highlight w:val="none"/>
                <w:lang w:val="en-US" w:eastAsia="zh-CN"/>
              </w:rPr>
              <w:t>不</w:t>
            </w:r>
            <w:r>
              <w:rPr>
                <w:color w:val="auto"/>
                <w:highlight w:val="none"/>
              </w:rPr>
              <w:t>准确，分析</w:t>
            </w:r>
            <w:r>
              <w:rPr>
                <w:rFonts w:hint="eastAsia"/>
                <w:color w:val="auto"/>
                <w:highlight w:val="none"/>
                <w:lang w:val="en-US" w:eastAsia="zh-CN"/>
              </w:rPr>
              <w:t>不</w:t>
            </w:r>
            <w:r>
              <w:rPr>
                <w:color w:val="auto"/>
                <w:highlight w:val="none"/>
              </w:rPr>
              <w:t>合理、应对措施</w:t>
            </w:r>
            <w:r>
              <w:rPr>
                <w:rFonts w:hint="eastAsia"/>
                <w:color w:val="auto"/>
                <w:highlight w:val="none"/>
                <w:lang w:val="en-US" w:eastAsia="zh-CN"/>
              </w:rPr>
              <w:t>差</w:t>
            </w:r>
            <w:r>
              <w:rPr>
                <w:color w:val="auto"/>
                <w:highlight w:val="none"/>
              </w:rPr>
              <w:t>，方案</w:t>
            </w:r>
            <w:r>
              <w:rPr>
                <w:rFonts w:hint="eastAsia"/>
                <w:color w:val="auto"/>
                <w:highlight w:val="none"/>
                <w:lang w:val="en-US" w:eastAsia="zh-CN"/>
              </w:rPr>
              <w:t>不</w:t>
            </w:r>
            <w:r>
              <w:rPr>
                <w:color w:val="auto"/>
                <w:highlight w:val="none"/>
              </w:rPr>
              <w:t>全面，得</w:t>
            </w:r>
            <w:r>
              <w:rPr>
                <w:rFonts w:hint="eastAsia"/>
                <w:color w:val="auto"/>
                <w:highlight w:val="none"/>
                <w:lang w:val="en-US" w:eastAsia="zh-CN"/>
              </w:rPr>
              <w:t>5</w:t>
            </w:r>
            <w:r>
              <w:rPr>
                <w:rFonts w:hint="eastAsia"/>
                <w:color w:val="auto"/>
                <w:highlight w:val="none"/>
                <w:lang w:eastAsia="zh-CN"/>
              </w:rPr>
              <w:t>分</w:t>
            </w:r>
            <w:r>
              <w:rPr>
                <w:color w:val="auto"/>
                <w:highlight w:val="none"/>
              </w:rPr>
              <w:t>；</w:t>
            </w:r>
          </w:p>
          <w:p>
            <w:pPr>
              <w:pStyle w:val="2"/>
              <w:rPr>
                <w:color w:val="auto"/>
                <w:sz w:val="24"/>
                <w:szCs w:val="24"/>
                <w:highlight w:val="none"/>
              </w:rPr>
            </w:pPr>
            <w:r>
              <w:rPr>
                <w:rFonts w:hint="eastAsia" w:ascii="宋体" w:hAnsi="宋体" w:cs="宋体"/>
                <w:b/>
                <w:bCs/>
                <w:color w:val="auto"/>
                <w:sz w:val="24"/>
                <w:szCs w:val="24"/>
                <w:highlight w:val="none"/>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901" w:type="dxa"/>
            <w:vAlign w:val="center"/>
          </w:tcPr>
          <w:p>
            <w:pPr>
              <w:jc w:val="center"/>
              <w:rPr>
                <w:rFonts w:hint="eastAsia" w:ascii="宋体" w:hAnsi="宋体" w:cs="宋体"/>
                <w:color w:val="auto"/>
                <w:sz w:val="24"/>
                <w:szCs w:val="24"/>
                <w:highlight w:val="none"/>
              </w:rPr>
            </w:pPr>
            <w:r>
              <w:rPr>
                <w:rFonts w:hint="eastAsia" w:ascii="宋体" w:hAnsi="宋体" w:cs="宋体"/>
                <w:color w:val="auto"/>
                <w:szCs w:val="21"/>
                <w:highlight w:val="none"/>
              </w:rPr>
              <w:t>服务方案</w:t>
            </w:r>
          </w:p>
        </w:tc>
        <w:tc>
          <w:tcPr>
            <w:tcW w:w="753" w:type="dxa"/>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15</w:t>
            </w:r>
          </w:p>
        </w:tc>
        <w:tc>
          <w:tcPr>
            <w:tcW w:w="5261"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根据供应商提供的服务方案（包括但不限于：沟通服务机制、索赔流程、手续及赔付时限等）进行综合评审：</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优：服务方案（包括但不限于：沟通服务机制、索赔流程、手续及赔付时限等）</w:t>
            </w:r>
            <w:r>
              <w:rPr>
                <w:rFonts w:ascii="宋体" w:hAnsi="宋体" w:eastAsia="宋体" w:cs="宋体"/>
                <w:color w:val="auto"/>
                <w:sz w:val="24"/>
                <w:szCs w:val="24"/>
                <w:highlight w:val="none"/>
              </w:rPr>
              <w:t>有详尽描述，</w:t>
            </w:r>
            <w:r>
              <w:rPr>
                <w:rFonts w:hint="eastAsia" w:ascii="宋体" w:hAnsi="宋体" w:cs="宋体"/>
                <w:color w:val="auto"/>
                <w:sz w:val="24"/>
                <w:szCs w:val="24"/>
                <w:highlight w:val="none"/>
                <w:lang w:val="en-US" w:eastAsia="zh-CN"/>
              </w:rPr>
              <w:t>科学合理</w:t>
            </w:r>
            <w:r>
              <w:rPr>
                <w:rFonts w:hint="eastAsia" w:ascii="宋体" w:hAnsi="宋体" w:cs="宋体"/>
                <w:color w:val="auto"/>
                <w:sz w:val="24"/>
                <w:szCs w:val="24"/>
                <w:highlight w:val="none"/>
              </w:rPr>
              <w:t>、专业性强，</w:t>
            </w:r>
            <w:r>
              <w:rPr>
                <w:rFonts w:hint="eastAsia" w:ascii="宋体" w:hAnsi="宋体" w:cs="宋体"/>
                <w:color w:val="auto"/>
                <w:sz w:val="24"/>
                <w:szCs w:val="24"/>
                <w:highlight w:val="none"/>
                <w:lang w:val="en-US" w:eastAsia="zh-CN"/>
              </w:rPr>
              <w:t>满足或优于</w:t>
            </w: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需求的得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良：服务方案（包括但不限于：沟通服务机制、索赔流程、手续及赔付时限等）</w:t>
            </w:r>
            <w:r>
              <w:rPr>
                <w:rFonts w:ascii="宋体" w:hAnsi="宋体" w:eastAsia="宋体" w:cs="宋体"/>
                <w:color w:val="auto"/>
                <w:sz w:val="24"/>
                <w:szCs w:val="24"/>
                <w:highlight w:val="none"/>
              </w:rPr>
              <w:t>均有描述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基本合理</w:t>
            </w:r>
            <w:r>
              <w:rPr>
                <w:rFonts w:hint="eastAsia" w:ascii="宋体" w:hAnsi="宋体" w:cs="宋体"/>
                <w:color w:val="auto"/>
                <w:sz w:val="24"/>
                <w:szCs w:val="24"/>
                <w:highlight w:val="none"/>
              </w:rPr>
              <w:t>、专业性一般，基本符合本项目</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需求的得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差：服务方案（包括但不限于：沟通服务机制、索赔流程、手续及赔付时限等）</w:t>
            </w:r>
            <w:r>
              <w:rPr>
                <w:rFonts w:ascii="宋体" w:hAnsi="宋体" w:eastAsia="宋体" w:cs="宋体"/>
                <w:color w:val="auto"/>
                <w:sz w:val="24"/>
                <w:szCs w:val="24"/>
                <w:highlight w:val="none"/>
              </w:rPr>
              <w:t>均有</w:t>
            </w:r>
            <w:r>
              <w:rPr>
                <w:rFonts w:hint="eastAsia" w:ascii="宋体" w:hAnsi="宋体" w:eastAsia="宋体" w:cs="宋体"/>
                <w:color w:val="auto"/>
                <w:sz w:val="24"/>
                <w:szCs w:val="24"/>
                <w:highlight w:val="none"/>
                <w:lang w:val="en-US" w:eastAsia="zh-CN"/>
              </w:rPr>
              <w:t>简单</w:t>
            </w:r>
            <w:r>
              <w:rPr>
                <w:rFonts w:ascii="宋体" w:hAnsi="宋体" w:eastAsia="宋体" w:cs="宋体"/>
                <w:color w:val="auto"/>
                <w:sz w:val="24"/>
                <w:szCs w:val="24"/>
                <w:highlight w:val="none"/>
              </w:rPr>
              <w:t>描述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方案过于简单，不合理，</w:t>
            </w:r>
            <w:r>
              <w:rPr>
                <w:rFonts w:hint="eastAsia" w:ascii="宋体" w:hAnsi="宋体" w:cs="宋体"/>
                <w:color w:val="auto"/>
                <w:sz w:val="24"/>
                <w:szCs w:val="24"/>
                <w:highlight w:val="none"/>
              </w:rPr>
              <w:t>专业性较差，不能满足本项目</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需求的得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b/>
                <w:bCs/>
                <w:color w:val="auto"/>
                <w:sz w:val="24"/>
                <w:szCs w:val="24"/>
                <w:highlight w:val="none"/>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2901" w:type="dxa"/>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其他增值服务</w:t>
            </w:r>
          </w:p>
        </w:tc>
        <w:tc>
          <w:tcPr>
            <w:tcW w:w="75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15</w:t>
            </w:r>
          </w:p>
        </w:tc>
        <w:tc>
          <w:tcPr>
            <w:tcW w:w="5261" w:type="dxa"/>
            <w:vAlign w:val="center"/>
          </w:tcPr>
          <w:p>
            <w:pPr>
              <w:rPr>
                <w:rFonts w:hint="eastAsia"/>
                <w:color w:val="auto"/>
                <w:sz w:val="24"/>
                <w:szCs w:val="24"/>
                <w:highlight w:val="none"/>
              </w:rPr>
            </w:pPr>
            <w:r>
              <w:rPr>
                <w:rFonts w:hint="eastAsia"/>
                <w:color w:val="auto"/>
                <w:sz w:val="24"/>
                <w:szCs w:val="24"/>
                <w:highlight w:val="none"/>
              </w:rPr>
              <w:t>根据供应商对本项目采购需求以外所提供的优惠条款或其他增值服务，包括但不限于：（1）按照保险责任范围内实际发生的医药费报销情况（比例，额度及自药费扣减等）；（2）第三者直赔；（3）代位追偿；（4）其他方面增值服务内容等提供的具体方案进行综合评审。</w:t>
            </w:r>
          </w:p>
          <w:p>
            <w:pPr>
              <w:rPr>
                <w:rFonts w:hint="eastAsia"/>
                <w:color w:val="auto"/>
                <w:sz w:val="24"/>
                <w:szCs w:val="24"/>
                <w:highlight w:val="none"/>
              </w:rPr>
            </w:pPr>
            <w:r>
              <w:rPr>
                <w:rFonts w:hint="eastAsia"/>
                <w:color w:val="auto"/>
                <w:sz w:val="24"/>
                <w:szCs w:val="24"/>
                <w:highlight w:val="none"/>
              </w:rPr>
              <w:t>优：增值服务包括但不限于：（1）按照保险责任范围内实际发生的医药费报销情况（比例，额度及自药费扣减等）；（2）第三者直赔；（3）代位追偿；（4）其他方面增值服务内容等提供的具体方案</w:t>
            </w:r>
            <w:r>
              <w:rPr>
                <w:rFonts w:hint="eastAsia"/>
                <w:color w:val="auto"/>
                <w:sz w:val="24"/>
                <w:szCs w:val="24"/>
                <w:highlight w:val="none"/>
                <w:lang w:eastAsia="zh-CN"/>
              </w:rPr>
              <w:t>，</w:t>
            </w:r>
            <w:r>
              <w:rPr>
                <w:rFonts w:ascii="宋体" w:hAnsi="宋体" w:eastAsia="宋体" w:cs="宋体"/>
                <w:color w:val="auto"/>
                <w:sz w:val="24"/>
                <w:szCs w:val="24"/>
                <w:highlight w:val="none"/>
              </w:rPr>
              <w:t>有详尽描述，</w:t>
            </w:r>
            <w:r>
              <w:rPr>
                <w:rFonts w:hint="eastAsia" w:ascii="宋体" w:hAnsi="宋体" w:cs="宋体"/>
                <w:color w:val="auto"/>
                <w:sz w:val="24"/>
                <w:szCs w:val="24"/>
                <w:highlight w:val="none"/>
                <w:lang w:val="en-US" w:eastAsia="zh-CN"/>
              </w:rPr>
              <w:t>科学合理</w:t>
            </w:r>
            <w:r>
              <w:rPr>
                <w:rFonts w:hint="eastAsia" w:ascii="宋体" w:hAnsi="宋体" w:cs="宋体"/>
                <w:color w:val="auto"/>
                <w:sz w:val="24"/>
                <w:szCs w:val="24"/>
                <w:highlight w:val="none"/>
              </w:rPr>
              <w:t>、</w:t>
            </w:r>
            <w:r>
              <w:rPr>
                <w:rFonts w:hint="eastAsia"/>
                <w:color w:val="auto"/>
                <w:sz w:val="24"/>
                <w:szCs w:val="24"/>
                <w:highlight w:val="none"/>
              </w:rPr>
              <w:t>实用性高、创新性及可行性强，</w:t>
            </w:r>
            <w:r>
              <w:rPr>
                <w:rFonts w:hint="eastAsia" w:ascii="宋体" w:hAnsi="宋体" w:cs="宋体"/>
                <w:color w:val="auto"/>
                <w:sz w:val="24"/>
                <w:szCs w:val="24"/>
                <w:highlight w:val="none"/>
                <w:lang w:val="en-US" w:eastAsia="zh-CN"/>
              </w:rPr>
              <w:t>满足或优于</w:t>
            </w:r>
            <w:r>
              <w:rPr>
                <w:rFonts w:hint="eastAsia"/>
                <w:color w:val="auto"/>
                <w:sz w:val="24"/>
                <w:szCs w:val="24"/>
                <w:highlight w:val="none"/>
              </w:rPr>
              <w:t>本项目</w:t>
            </w:r>
            <w:r>
              <w:rPr>
                <w:rFonts w:hint="eastAsia" w:ascii="宋体" w:hAnsi="宋体" w:cs="宋体"/>
                <w:color w:val="auto"/>
                <w:sz w:val="24"/>
                <w:szCs w:val="24"/>
                <w:highlight w:val="none"/>
                <w:lang w:val="en-US" w:eastAsia="zh-CN"/>
              </w:rPr>
              <w:t>采购</w:t>
            </w:r>
            <w:r>
              <w:rPr>
                <w:rFonts w:hint="eastAsia"/>
                <w:color w:val="auto"/>
                <w:sz w:val="24"/>
                <w:szCs w:val="24"/>
                <w:highlight w:val="none"/>
              </w:rPr>
              <w:t>需求的得1</w:t>
            </w:r>
            <w:r>
              <w:rPr>
                <w:rFonts w:hint="eastAsia"/>
                <w:color w:val="auto"/>
                <w:sz w:val="24"/>
                <w:szCs w:val="24"/>
                <w:highlight w:val="none"/>
                <w:lang w:val="en-US" w:eastAsia="zh-CN"/>
              </w:rPr>
              <w:t>5</w:t>
            </w:r>
            <w:r>
              <w:rPr>
                <w:rFonts w:hint="eastAsia"/>
                <w:color w:val="auto"/>
                <w:sz w:val="24"/>
                <w:szCs w:val="24"/>
                <w:highlight w:val="none"/>
              </w:rPr>
              <w:t>分；</w:t>
            </w:r>
          </w:p>
          <w:p>
            <w:pPr>
              <w:rPr>
                <w:rFonts w:hint="eastAsia"/>
                <w:color w:val="auto"/>
                <w:sz w:val="24"/>
                <w:szCs w:val="24"/>
                <w:highlight w:val="none"/>
              </w:rPr>
            </w:pPr>
            <w:r>
              <w:rPr>
                <w:rFonts w:hint="eastAsia"/>
                <w:color w:val="auto"/>
                <w:sz w:val="24"/>
                <w:szCs w:val="24"/>
                <w:highlight w:val="none"/>
              </w:rPr>
              <w:t>良：增值服务包括但不限于：（1）按照保险责任范围内实际发生的医药费报销情况（比例，额度及自药费扣减等）；（2）第三者直赔；（3）代位追偿；（4）其他方面增值服务内容等提供的具体方案</w:t>
            </w:r>
            <w:r>
              <w:rPr>
                <w:rFonts w:hint="eastAsia"/>
                <w:color w:val="auto"/>
                <w:sz w:val="24"/>
                <w:szCs w:val="24"/>
                <w:highlight w:val="none"/>
                <w:lang w:eastAsia="zh-CN"/>
              </w:rPr>
              <w:t>，</w:t>
            </w:r>
            <w:r>
              <w:rPr>
                <w:rFonts w:ascii="宋体" w:hAnsi="宋体" w:eastAsia="宋体" w:cs="宋体"/>
                <w:color w:val="auto"/>
                <w:sz w:val="24"/>
                <w:szCs w:val="24"/>
                <w:highlight w:val="none"/>
              </w:rPr>
              <w:t>均有描述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基本合理</w:t>
            </w:r>
            <w:r>
              <w:rPr>
                <w:rFonts w:hint="eastAsia" w:ascii="宋体" w:hAnsi="宋体" w:cs="宋体"/>
                <w:color w:val="auto"/>
                <w:sz w:val="24"/>
                <w:szCs w:val="24"/>
                <w:highlight w:val="none"/>
              </w:rPr>
              <w:t>、</w:t>
            </w:r>
            <w:r>
              <w:rPr>
                <w:rFonts w:hint="eastAsia"/>
                <w:color w:val="auto"/>
                <w:sz w:val="24"/>
                <w:szCs w:val="24"/>
                <w:highlight w:val="none"/>
              </w:rPr>
              <w:t>实用性一般、基本可行，基本符合本项目</w:t>
            </w:r>
            <w:r>
              <w:rPr>
                <w:rFonts w:hint="eastAsia" w:ascii="宋体" w:hAnsi="宋体" w:cs="宋体"/>
                <w:color w:val="auto"/>
                <w:sz w:val="24"/>
                <w:szCs w:val="24"/>
                <w:highlight w:val="none"/>
                <w:lang w:val="en-US" w:eastAsia="zh-CN"/>
              </w:rPr>
              <w:t>采购</w:t>
            </w:r>
            <w:r>
              <w:rPr>
                <w:rFonts w:hint="eastAsia"/>
                <w:color w:val="auto"/>
                <w:sz w:val="24"/>
                <w:szCs w:val="24"/>
                <w:highlight w:val="none"/>
              </w:rPr>
              <w:t>需求的得</w:t>
            </w:r>
            <w:r>
              <w:rPr>
                <w:rFonts w:hint="eastAsia"/>
                <w:color w:val="auto"/>
                <w:sz w:val="24"/>
                <w:szCs w:val="24"/>
                <w:highlight w:val="none"/>
                <w:lang w:val="en-US" w:eastAsia="zh-CN"/>
              </w:rPr>
              <w:t>10</w:t>
            </w:r>
            <w:r>
              <w:rPr>
                <w:rFonts w:hint="eastAsia"/>
                <w:color w:val="auto"/>
                <w:sz w:val="24"/>
                <w:szCs w:val="24"/>
                <w:highlight w:val="none"/>
              </w:rPr>
              <w:t>分；</w:t>
            </w:r>
          </w:p>
          <w:p>
            <w:pPr>
              <w:rPr>
                <w:rFonts w:hint="eastAsia"/>
                <w:color w:val="auto"/>
                <w:sz w:val="24"/>
                <w:szCs w:val="24"/>
                <w:highlight w:val="none"/>
              </w:rPr>
            </w:pPr>
            <w:r>
              <w:rPr>
                <w:rFonts w:hint="eastAsia"/>
                <w:color w:val="auto"/>
                <w:sz w:val="24"/>
                <w:szCs w:val="24"/>
                <w:highlight w:val="none"/>
              </w:rPr>
              <w:t>差：增值服务包括但不限于：（1）按照保险责任范围内实际发生的医药费报销情况（比例，额度及自药费扣减等）；（2）第三者直赔；（3）代位追偿；（4）其他方面增值服务内容等提供的具体方案</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均有</w:t>
            </w:r>
            <w:r>
              <w:rPr>
                <w:rFonts w:hint="eastAsia" w:ascii="宋体" w:hAnsi="宋体" w:eastAsia="宋体" w:cs="宋体"/>
                <w:color w:val="auto"/>
                <w:sz w:val="24"/>
                <w:szCs w:val="24"/>
                <w:highlight w:val="none"/>
                <w:lang w:val="en-US" w:eastAsia="zh-CN"/>
              </w:rPr>
              <w:t>简单</w:t>
            </w:r>
            <w:r>
              <w:rPr>
                <w:rFonts w:ascii="宋体" w:hAnsi="宋体" w:eastAsia="宋体" w:cs="宋体"/>
                <w:color w:val="auto"/>
                <w:sz w:val="24"/>
                <w:szCs w:val="24"/>
                <w:highlight w:val="none"/>
              </w:rPr>
              <w:t>描述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方案过于简单，不合理，</w:t>
            </w:r>
            <w:r>
              <w:rPr>
                <w:rFonts w:hint="eastAsia"/>
                <w:color w:val="auto"/>
                <w:sz w:val="24"/>
                <w:szCs w:val="24"/>
                <w:highlight w:val="none"/>
              </w:rPr>
              <w:t>实用性、可行性较差，不能满足本项目</w:t>
            </w:r>
            <w:r>
              <w:rPr>
                <w:rFonts w:hint="eastAsia" w:ascii="宋体" w:hAnsi="宋体" w:cs="宋体"/>
                <w:color w:val="auto"/>
                <w:sz w:val="24"/>
                <w:szCs w:val="24"/>
                <w:highlight w:val="none"/>
                <w:lang w:val="en-US" w:eastAsia="zh-CN"/>
              </w:rPr>
              <w:t>采购</w:t>
            </w:r>
            <w:r>
              <w:rPr>
                <w:rFonts w:hint="eastAsia"/>
                <w:color w:val="auto"/>
                <w:sz w:val="24"/>
                <w:szCs w:val="24"/>
                <w:highlight w:val="none"/>
              </w:rPr>
              <w:t>需求的得</w:t>
            </w:r>
            <w:r>
              <w:rPr>
                <w:rFonts w:hint="eastAsia"/>
                <w:color w:val="auto"/>
                <w:sz w:val="24"/>
                <w:szCs w:val="24"/>
                <w:highlight w:val="none"/>
                <w:lang w:val="en-US" w:eastAsia="zh-CN"/>
              </w:rPr>
              <w:t>5</w:t>
            </w:r>
            <w:r>
              <w:rPr>
                <w:rFonts w:hint="eastAsia"/>
                <w:color w:val="auto"/>
                <w:sz w:val="24"/>
                <w:szCs w:val="24"/>
                <w:highlight w:val="none"/>
              </w:rPr>
              <w:t>分；</w:t>
            </w:r>
          </w:p>
          <w:p>
            <w:pPr>
              <w:rPr>
                <w:rFonts w:hint="eastAsia"/>
                <w:b/>
                <w:bCs/>
                <w:color w:val="auto"/>
                <w:sz w:val="24"/>
                <w:szCs w:val="24"/>
                <w:highlight w:val="none"/>
              </w:rPr>
            </w:pPr>
            <w:r>
              <w:rPr>
                <w:rFonts w:hint="eastAsia"/>
                <w:b/>
                <w:bCs/>
                <w:color w:val="auto"/>
                <w:sz w:val="24"/>
                <w:szCs w:val="24"/>
                <w:highlight w:val="none"/>
              </w:rPr>
              <w:t>注：不提供不得分。</w:t>
            </w:r>
          </w:p>
          <w:p>
            <w:pPr>
              <w:rPr>
                <w:rFonts w:hint="eastAsia"/>
                <w:color w:val="auto"/>
                <w:sz w:val="24"/>
                <w:szCs w:val="24"/>
                <w:highlight w:val="none"/>
              </w:rPr>
            </w:pPr>
            <w:r>
              <w:rPr>
                <w:rFonts w:hint="eastAsia"/>
                <w:b/>
                <w:bCs/>
                <w:color w:val="auto"/>
                <w:sz w:val="24"/>
                <w:szCs w:val="24"/>
                <w:highlight w:val="none"/>
              </w:rPr>
              <w:t>【提供材料：优惠条款或其他增值服务承诺函（格式自拟），加盖供应商公章。】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8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901" w:type="dxa"/>
            <w:vAlign w:val="center"/>
          </w:tcPr>
          <w:p>
            <w:pPr>
              <w:jc w:val="center"/>
              <w:rPr>
                <w:rFonts w:hint="eastAsia" w:ascii="宋体" w:hAnsi="宋体"/>
                <w:color w:val="auto"/>
                <w:sz w:val="24"/>
                <w:szCs w:val="24"/>
                <w:highlight w:val="none"/>
              </w:rPr>
            </w:pPr>
            <w:r>
              <w:rPr>
                <w:rFonts w:hint="eastAsia" w:ascii="宋体" w:hAnsi="宋体" w:cs="宋体"/>
                <w:color w:val="auto"/>
                <w:sz w:val="24"/>
                <w:szCs w:val="24"/>
                <w:highlight w:val="none"/>
              </w:rPr>
              <w:t>投入人员配置</w:t>
            </w:r>
          </w:p>
        </w:tc>
        <w:tc>
          <w:tcPr>
            <w:tcW w:w="753" w:type="dxa"/>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15</w:t>
            </w:r>
          </w:p>
        </w:tc>
        <w:tc>
          <w:tcPr>
            <w:tcW w:w="5261" w:type="dxa"/>
            <w:vAlign w:val="top"/>
          </w:tcPr>
          <w:p>
            <w:pPr>
              <w:rPr>
                <w:rFonts w:hint="eastAsia" w:ascii="宋体" w:hAnsi="宋体"/>
                <w:color w:val="auto"/>
                <w:sz w:val="24"/>
                <w:szCs w:val="24"/>
                <w:highlight w:val="none"/>
              </w:rPr>
            </w:pPr>
            <w:r>
              <w:rPr>
                <w:rFonts w:hint="eastAsia" w:ascii="宋体" w:hAnsi="宋体"/>
                <w:color w:val="auto"/>
                <w:sz w:val="24"/>
                <w:szCs w:val="24"/>
                <w:highlight w:val="none"/>
              </w:rPr>
              <w:t>根据供应商拟投入本项目的5年及以上专职受理车险人员数量、人员素质情况进行综合评审，每提供一人得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分，本项最高得1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p>
            <w:pPr>
              <w:rPr>
                <w:rFonts w:hint="eastAsia" w:ascii="宋体" w:hAnsi="宋体"/>
                <w:b/>
                <w:bCs/>
                <w:color w:val="auto"/>
                <w:sz w:val="24"/>
                <w:szCs w:val="24"/>
                <w:highlight w:val="none"/>
              </w:rPr>
            </w:pPr>
            <w:r>
              <w:rPr>
                <w:rFonts w:hint="eastAsia" w:ascii="宋体" w:hAnsi="宋体"/>
                <w:b/>
                <w:bCs/>
                <w:color w:val="auto"/>
                <w:sz w:val="24"/>
                <w:szCs w:val="24"/>
                <w:highlight w:val="none"/>
              </w:rPr>
              <w:t>注：不提供不得分。</w:t>
            </w:r>
          </w:p>
          <w:p>
            <w:pPr>
              <w:rPr>
                <w:rFonts w:hint="eastAsia" w:ascii="宋体" w:hAnsi="宋体"/>
                <w:color w:val="auto"/>
                <w:sz w:val="24"/>
                <w:szCs w:val="24"/>
                <w:highlight w:val="none"/>
              </w:rPr>
            </w:pPr>
            <w:r>
              <w:rPr>
                <w:rFonts w:hint="eastAsia" w:ascii="宋体" w:hAnsi="宋体"/>
                <w:b/>
                <w:bCs/>
                <w:color w:val="auto"/>
                <w:sz w:val="24"/>
                <w:szCs w:val="24"/>
                <w:highlight w:val="none"/>
              </w:rPr>
              <w:t>【提供材料：①提供上述人员工作年限的证明材料并加盖供应商公章（包括但不限于入职登记表、劳动合同或 HR 系统截图等）；②在供应商单位（或分支机构）购买社会保险或缴纳个人所得税（扣除公告发布当月，向前顺推三个月</w:t>
            </w:r>
            <w:r>
              <w:rPr>
                <w:rFonts w:hint="eastAsia" w:ascii="宋体" w:hAnsi="宋体"/>
                <w:b/>
                <w:bCs/>
                <w:color w:val="auto"/>
                <w:sz w:val="24"/>
                <w:szCs w:val="24"/>
                <w:highlight w:val="none"/>
                <w:lang w:val="en-US" w:eastAsia="zh-CN"/>
              </w:rPr>
              <w:t>任意一个月</w:t>
            </w:r>
            <w:r>
              <w:rPr>
                <w:rFonts w:hint="eastAsia" w:ascii="宋体" w:hAnsi="宋体"/>
                <w:b/>
                <w:bCs/>
                <w:color w:val="auto"/>
                <w:sz w:val="24"/>
                <w:szCs w:val="24"/>
                <w:highlight w:val="none"/>
              </w:rPr>
              <w:t>）的证明材料复印件。①②缺一不可，均需加盖供应商公章。】</w:t>
            </w:r>
          </w:p>
        </w:tc>
      </w:tr>
    </w:tbl>
    <w:p>
      <w:pPr>
        <w:pStyle w:val="11"/>
        <w:ind w:firstLine="0" w:firstLineChars="0"/>
        <w:rPr>
          <w:rFonts w:ascii="宋体" w:hAnsi="宋体" w:cs="宋体"/>
          <w:color w:val="auto"/>
          <w:sz w:val="24"/>
          <w:szCs w:val="24"/>
          <w:highlight w:val="none"/>
        </w:rPr>
      </w:pPr>
    </w:p>
    <w:p>
      <w:pPr>
        <w:numPr>
          <w:ilvl w:val="0"/>
          <w:numId w:val="42"/>
        </w:numPr>
        <w:tabs>
          <w:tab w:val="left" w:pos="420"/>
          <w:tab w:val="left" w:pos="540"/>
        </w:tabs>
        <w:snapToGrid w:val="0"/>
        <w:spacing w:line="360" w:lineRule="auto"/>
        <w:rPr>
          <w:rFonts w:ascii="宋体" w:hAnsi="宋体" w:cs="宋体"/>
          <w:b/>
          <w:color w:val="auto"/>
          <w:sz w:val="24"/>
          <w:szCs w:val="24"/>
          <w:highlight w:val="none"/>
          <w:lang w:val="en-GB"/>
        </w:rPr>
      </w:pPr>
      <w:r>
        <w:rPr>
          <w:rFonts w:hint="eastAsia" w:ascii="宋体" w:hAnsi="宋体" w:cs="宋体"/>
          <w:b/>
          <w:color w:val="auto"/>
          <w:sz w:val="24"/>
          <w:szCs w:val="24"/>
          <w:highlight w:val="none"/>
        </w:rPr>
        <w:t>商务</w:t>
      </w:r>
      <w:r>
        <w:rPr>
          <w:rFonts w:hint="eastAsia" w:ascii="宋体" w:hAnsi="宋体" w:cs="宋体"/>
          <w:b/>
          <w:color w:val="auto"/>
          <w:sz w:val="24"/>
          <w:szCs w:val="24"/>
          <w:highlight w:val="none"/>
          <w:lang w:val="en-GB"/>
        </w:rPr>
        <w:t>部分评审标准</w:t>
      </w:r>
    </w:p>
    <w:tbl>
      <w:tblPr>
        <w:tblStyle w:val="3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85"/>
        <w:gridCol w:w="87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2" w:type="dxa"/>
            <w:gridSpan w:val="4"/>
            <w:shd w:val="clear" w:color="auto" w:fill="A4A4A4"/>
            <w:vAlign w:val="center"/>
          </w:tcPr>
          <w:p>
            <w:pPr>
              <w:spacing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rPr>
              <w:t>商务部分（</w:t>
            </w:r>
            <w:r>
              <w:rPr>
                <w:rFonts w:hint="eastAsia" w:ascii="宋体" w:hAnsi="宋体" w:cs="宋体"/>
                <w:b/>
                <w:bCs/>
                <w:color w:val="auto"/>
                <w:kern w:val="0"/>
                <w:sz w:val="24"/>
                <w:szCs w:val="24"/>
                <w:highlight w:val="none"/>
                <w:lang w:val="en-US" w:eastAsia="zh-CN"/>
              </w:rPr>
              <w:t>40</w:t>
            </w:r>
            <w:r>
              <w:rPr>
                <w:rFonts w:hint="eastAsia" w:ascii="宋体" w:hAnsi="宋体" w:cs="宋体"/>
                <w:b/>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4" w:type="dxa"/>
            <w:gridSpan w:val="2"/>
            <w:shd w:val="clear" w:color="auto" w:fill="A4A4A4"/>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商务评审子项</w:t>
            </w:r>
          </w:p>
        </w:tc>
        <w:tc>
          <w:tcPr>
            <w:tcW w:w="875" w:type="dxa"/>
            <w:shd w:val="clear" w:color="auto" w:fill="A4A4A4"/>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5563" w:type="dxa"/>
            <w:shd w:val="clear" w:color="auto" w:fill="A4A4A4"/>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评分标准和指引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539"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485"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rPr>
              <w:t>项目业绩评价</w:t>
            </w:r>
          </w:p>
        </w:tc>
        <w:tc>
          <w:tcPr>
            <w:tcW w:w="875"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563" w:type="dxa"/>
            <w:vAlign w:val="center"/>
          </w:tcPr>
          <w:p>
            <w:pPr>
              <w:pStyle w:val="14"/>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根据供应商自2021年1月1日至提交投标文件截止日止（以合同签订时间为准），以供应商名义独立完成与本项目类似项目业绩。每提供一个合同得3分，最高得15分。</w:t>
            </w:r>
          </w:p>
          <w:p>
            <w:pPr>
              <w:pStyle w:val="14"/>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注：投标文件中需提供合同关键页（须包括项目名称、项目金额、合同签订时间、项目主要内容和双方盖章页）的复印件，不提供或提供不全不得分。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39"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485"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color w:val="auto"/>
                <w:sz w:val="24"/>
                <w:szCs w:val="24"/>
                <w:highlight w:val="none"/>
              </w:rPr>
            </w:pPr>
            <w:r>
              <w:rPr>
                <w:rFonts w:hint="eastAsia" w:ascii="宋体" w:hAnsi="宋体" w:eastAsia="宋体" w:cs="宋体"/>
                <w:color w:val="auto"/>
                <w:sz w:val="24"/>
                <w:szCs w:val="24"/>
                <w:highlight w:val="none"/>
              </w:rPr>
              <w:t>偿付能力评价</w:t>
            </w:r>
          </w:p>
        </w:tc>
        <w:tc>
          <w:tcPr>
            <w:tcW w:w="875"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563"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年第三季度偿付能力充足率</w:t>
            </w:r>
            <w:r>
              <w:rPr>
                <w:rFonts w:hint="eastAsia" w:ascii="宋体" w:hAnsi="宋体" w:eastAsia="宋体" w:cs="宋体"/>
                <w:color w:val="auto"/>
                <w:sz w:val="24"/>
                <w:szCs w:val="24"/>
                <w:highlight w:val="none"/>
                <w:lang w:val="en-US" w:eastAsia="zh-CN"/>
              </w:rPr>
              <w:t>进行评审：</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250%（含）以上得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170%（含）-250%（不含）得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120%（含）-170%（不含）得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100%（含）-120%（不含）得1分；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100%（不含）以下不得分。</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须提供经第三方审计的202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任一</w:t>
            </w:r>
            <w:r>
              <w:rPr>
                <w:rFonts w:hint="eastAsia" w:ascii="宋体" w:hAnsi="宋体" w:eastAsia="宋体" w:cs="宋体"/>
                <w:color w:val="auto"/>
                <w:sz w:val="24"/>
                <w:szCs w:val="24"/>
                <w:highlight w:val="none"/>
              </w:rPr>
              <w:t>季度偿付能力报告含偿付能力充足率相关页面复印件</w:t>
            </w:r>
            <w:r>
              <w:rPr>
                <w:rFonts w:hint="eastAsia" w:ascii="宋体" w:hAnsi="宋体" w:eastAsia="宋体" w:cs="宋体"/>
                <w:color w:val="auto"/>
                <w:sz w:val="24"/>
                <w:szCs w:val="24"/>
                <w:highlight w:val="none"/>
                <w:lang w:val="en-US" w:eastAsia="zh-CN"/>
              </w:rPr>
              <w:t>加盖供应商公章</w:t>
            </w:r>
            <w:r>
              <w:rPr>
                <w:rFonts w:hint="eastAsia" w:ascii="宋体" w:hAnsi="宋体" w:eastAsia="宋体" w:cs="宋体"/>
                <w:color w:val="auto"/>
                <w:sz w:val="24"/>
                <w:szCs w:val="24"/>
                <w:highlight w:val="none"/>
              </w:rPr>
              <w:t>作为评审依据，不提供不得分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39"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485"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rPr>
              <w:t>投标人综合实力</w:t>
            </w:r>
          </w:p>
        </w:tc>
        <w:tc>
          <w:tcPr>
            <w:tcW w:w="875"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w:t>
            </w:r>
          </w:p>
        </w:tc>
        <w:tc>
          <w:tcPr>
            <w:tcW w:w="5563"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根据供应商获得的监管部门或政府部门颁发的荣誉证书情况进行评审：</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每提供一项荣誉证书得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分。不提供不得分。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注：须</w:t>
            </w:r>
            <w:r>
              <w:rPr>
                <w:rFonts w:hint="eastAsia" w:ascii="宋体" w:hAnsi="宋体" w:eastAsia="宋体" w:cs="宋体"/>
                <w:color w:val="auto"/>
                <w:kern w:val="0"/>
                <w:sz w:val="24"/>
                <w:szCs w:val="24"/>
                <w:highlight w:val="none"/>
              </w:rPr>
              <w:t>提供有效证书复印件并加盖供应商公章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sz w:val="24"/>
                <w:szCs w:val="24"/>
                <w:highlight w:val="none"/>
              </w:rPr>
              <w:t>。</w:t>
            </w:r>
          </w:p>
        </w:tc>
      </w:tr>
    </w:tbl>
    <w:p>
      <w:pPr>
        <w:rPr>
          <w:color w:val="auto"/>
          <w:highlight w:val="none"/>
        </w:rPr>
      </w:pPr>
    </w:p>
    <w:p>
      <w:pPr>
        <w:numPr>
          <w:ilvl w:val="0"/>
          <w:numId w:val="0"/>
        </w:numPr>
        <w:tabs>
          <w:tab w:val="left" w:pos="420"/>
          <w:tab w:val="left" w:pos="540"/>
        </w:tabs>
        <w:snapToGrid w:val="0"/>
        <w:spacing w:line="360" w:lineRule="auto"/>
        <w:ind w:leftChars="0"/>
        <w:rPr>
          <w:rFonts w:hint="eastAsia" w:ascii="宋体" w:hAnsi="宋体" w:cs="宋体"/>
          <w:b/>
          <w:color w:val="auto"/>
          <w:szCs w:val="24"/>
          <w:highlight w:val="none"/>
          <w:lang w:val="en-US" w:eastAsia="zh-CN"/>
        </w:rPr>
      </w:pPr>
    </w:p>
    <w:p>
      <w:pPr>
        <w:numPr>
          <w:ilvl w:val="0"/>
          <w:numId w:val="0"/>
        </w:numPr>
        <w:tabs>
          <w:tab w:val="left" w:pos="420"/>
          <w:tab w:val="left" w:pos="540"/>
        </w:tabs>
        <w:snapToGrid w:val="0"/>
        <w:spacing w:line="360" w:lineRule="auto"/>
        <w:ind w:leftChars="0"/>
        <w:rPr>
          <w:rFonts w:hint="eastAsia" w:eastAsia="宋体"/>
          <w:color w:val="auto"/>
          <w:sz w:val="24"/>
          <w:szCs w:val="22"/>
          <w:highlight w:val="none"/>
          <w:lang w:val="en-GB" w:eastAsia="zh-CN"/>
        </w:rPr>
      </w:pP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lang w:val="en-GB"/>
        </w:rPr>
        <w:t>价格部分评审标准</w:t>
      </w:r>
      <w:r>
        <w:rPr>
          <w:rFonts w:hint="eastAsia" w:ascii="宋体" w:hAnsi="宋体" w:cs="宋体"/>
          <w:b/>
          <w:color w:val="auto"/>
          <w:szCs w:val="24"/>
          <w:highlight w:val="none"/>
          <w:lang w:val="en-GB" w:eastAsia="zh-CN"/>
        </w:rPr>
        <w:t>（</w:t>
      </w:r>
      <w:r>
        <w:rPr>
          <w:rFonts w:hint="eastAsia" w:ascii="宋体" w:hAnsi="宋体" w:cs="宋体"/>
          <w:b/>
          <w:color w:val="auto"/>
          <w:szCs w:val="24"/>
          <w:highlight w:val="none"/>
          <w:lang w:val="en-US" w:eastAsia="zh-CN"/>
        </w:rPr>
        <w:t>本项目不适用</w:t>
      </w:r>
      <w:r>
        <w:rPr>
          <w:rFonts w:hint="eastAsia" w:ascii="宋体" w:hAnsi="宋体" w:cs="宋体"/>
          <w:b/>
          <w:color w:val="auto"/>
          <w:szCs w:val="24"/>
          <w:highlight w:val="none"/>
          <w:lang w:val="en-GB" w:eastAsia="zh-CN"/>
        </w:rPr>
        <w:t>）</w:t>
      </w:r>
    </w:p>
    <w:p>
      <w:pPr>
        <w:numPr>
          <w:ilvl w:val="-1"/>
          <w:numId w:val="0"/>
        </w:numPr>
        <w:spacing w:line="360" w:lineRule="auto"/>
        <w:ind w:left="0" w:firstLine="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依照《政府采购促进中小企业发展</w:t>
      </w:r>
      <w:r>
        <w:rPr>
          <w:rFonts w:hint="eastAsia"/>
          <w:color w:val="auto"/>
          <w:highlight w:val="none"/>
          <w:lang w:val="en-US" w:eastAsia="zh-CN"/>
        </w:rPr>
        <w:t>管理</w:t>
      </w:r>
      <w:r>
        <w:rPr>
          <w:rFonts w:hint="eastAsia"/>
          <w:color w:val="auto"/>
          <w:highlight w:val="none"/>
        </w:rPr>
        <w:t>办法》的规定，对符合要求的有效投标人，按照以下比例给予相应的价格扣除：</w:t>
      </w:r>
    </w:p>
    <w:tbl>
      <w:tblPr>
        <w:tblStyle w:val="3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59"/>
        <w:gridCol w:w="2691"/>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59" w:type="dxa"/>
            <w:noWrap w:val="0"/>
            <w:vAlign w:val="center"/>
          </w:tcPr>
          <w:p>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情形</w:t>
            </w:r>
          </w:p>
        </w:tc>
        <w:tc>
          <w:tcPr>
            <w:tcW w:w="2691" w:type="dxa"/>
            <w:noWrap w:val="0"/>
            <w:vAlign w:val="center"/>
          </w:tcPr>
          <w:p>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价格扣除比例</w:t>
            </w:r>
          </w:p>
        </w:tc>
        <w:tc>
          <w:tcPr>
            <w:tcW w:w="3220" w:type="dxa"/>
            <w:noWrap w:val="0"/>
            <w:vAlign w:val="center"/>
          </w:tcPr>
          <w:p>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1</w:t>
            </w:r>
          </w:p>
        </w:tc>
        <w:tc>
          <w:tcPr>
            <w:tcW w:w="2559" w:type="dxa"/>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非联合体供应商</w:t>
            </w:r>
          </w:p>
          <w:p>
            <w:pPr>
              <w:spacing w:line="276" w:lineRule="auto"/>
              <w:jc w:val="center"/>
              <w:rPr>
                <w:rFonts w:hint="eastAsia" w:ascii="宋体" w:hAnsi="宋体"/>
                <w:b/>
                <w:color w:val="auto"/>
                <w:szCs w:val="21"/>
                <w:highlight w:val="none"/>
              </w:rPr>
            </w:pPr>
            <w:r>
              <w:rPr>
                <w:rFonts w:hint="eastAsia" w:ascii="宋体" w:hAnsi="宋体"/>
                <w:color w:val="auto"/>
                <w:szCs w:val="21"/>
                <w:highlight w:val="none"/>
              </w:rPr>
              <w:t>（供应商须为中小企业）</w:t>
            </w:r>
          </w:p>
        </w:tc>
        <w:tc>
          <w:tcPr>
            <w:tcW w:w="2691" w:type="dxa"/>
            <w:noWrap w:val="0"/>
            <w:vAlign w:val="center"/>
          </w:tcPr>
          <w:p>
            <w:pPr>
              <w:spacing w:line="276" w:lineRule="auto"/>
              <w:jc w:val="center"/>
              <w:rPr>
                <w:rFonts w:hint="eastAsia" w:ascii="宋体" w:hAnsi="宋体"/>
                <w:b/>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3220" w:type="dxa"/>
            <w:noWrap w:val="0"/>
            <w:vAlign w:val="center"/>
          </w:tcPr>
          <w:p>
            <w:pPr>
              <w:spacing w:line="276" w:lineRule="auto"/>
              <w:jc w:val="center"/>
              <w:rPr>
                <w:rFonts w:hint="eastAsia" w:ascii="宋体" w:hAnsi="宋体"/>
                <w:b/>
                <w:color w:val="auto"/>
                <w:szCs w:val="21"/>
                <w:highlight w:val="none"/>
              </w:rPr>
            </w:pPr>
            <w:r>
              <w:rPr>
                <w:rFonts w:hint="eastAsia"/>
                <w:color w:val="auto"/>
                <w:szCs w:val="21"/>
                <w:highlight w:val="none"/>
              </w:rPr>
              <w:t>评标价格＝（总投标报价—小型和微型企业产品的价格）+小型和微型企业产品的价格</w:t>
            </w: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color w:val="auto"/>
                <w:szCs w:val="21"/>
                <w:highlight w:val="none"/>
                <w:u w:val="single"/>
              </w:rPr>
              <w:t>%)</w:t>
            </w:r>
          </w:p>
        </w:tc>
      </w:tr>
    </w:tbl>
    <w:p>
      <w:pPr>
        <w:snapToGrid/>
        <w:spacing w:line="360" w:lineRule="auto"/>
        <w:rPr>
          <w:rFonts w:ascii="宋体" w:hAnsi="宋体" w:cs="宋体"/>
          <w:b/>
          <w:color w:val="auto"/>
          <w:szCs w:val="24"/>
          <w:highlight w:val="none"/>
          <w:lang w:val="en-GB"/>
        </w:rPr>
      </w:pPr>
      <w:r>
        <w:rPr>
          <w:rFonts w:hint="eastAsia" w:ascii="宋体" w:hAnsi="宋体" w:cs="宋体"/>
          <w:b/>
          <w:color w:val="auto"/>
          <w:szCs w:val="24"/>
          <w:highlight w:val="none"/>
        </w:rPr>
        <w:t>（注：1.</w:t>
      </w:r>
      <w:r>
        <w:rPr>
          <w:rFonts w:hint="eastAsia" w:ascii="宋体" w:hAnsi="宋体" w:cs="宋体"/>
          <w:color w:val="auto"/>
          <w:szCs w:val="24"/>
          <w:highlight w:val="none"/>
          <w:lang w:val="en-GB"/>
        </w:rPr>
        <w:t>中型企业不享受以上优惠；</w:t>
      </w:r>
      <w:r>
        <w:rPr>
          <w:rFonts w:hint="eastAsia" w:ascii="宋体" w:hAnsi="宋体" w:cs="宋体"/>
          <w:b/>
          <w:color w:val="auto"/>
          <w:szCs w:val="24"/>
          <w:highlight w:val="none"/>
        </w:rPr>
        <w:t>2.</w:t>
      </w:r>
      <w:r>
        <w:rPr>
          <w:rFonts w:hint="eastAsia" w:ascii="宋体" w:hAnsi="宋体" w:cs="宋体"/>
          <w:color w:val="auto"/>
          <w:szCs w:val="24"/>
          <w:highlight w:val="none"/>
          <w:lang w:val="en-GB"/>
        </w:rPr>
        <w:t>小型和微型企业产品包括货物及其提供的服务与工程。</w:t>
      </w:r>
      <w:r>
        <w:rPr>
          <w:rFonts w:hint="eastAsia" w:ascii="宋体" w:hAnsi="宋体" w:cs="宋体"/>
          <w:b/>
          <w:color w:val="auto"/>
          <w:szCs w:val="24"/>
          <w:highlight w:val="none"/>
        </w:rPr>
        <w:t>3.</w:t>
      </w:r>
      <w:r>
        <w:rPr>
          <w:rFonts w:hint="eastAsia" w:ascii="宋体" w:hAnsi="宋体" w:cs="宋体"/>
          <w:b/>
          <w:color w:val="auto"/>
          <w:szCs w:val="24"/>
          <w:highlight w:val="none"/>
          <w:lang w:val="en-US" w:eastAsia="zh-CN"/>
        </w:rPr>
        <w:t xml:space="preserve">1 </w:t>
      </w:r>
      <w:r>
        <w:rPr>
          <w:rFonts w:hint="eastAsia" w:ascii="宋体" w:hAnsi="宋体" w:cs="宋体"/>
          <w:color w:val="auto"/>
          <w:szCs w:val="24"/>
          <w:highlight w:val="none"/>
          <w:lang w:val="en-GB"/>
        </w:rPr>
        <w:t>符合要求的供应商须按采购件附件格式提供“中小企业声明函”，供应商如不能完整提供上述资料的将不能享受相应的价格折扣。）</w:t>
      </w:r>
    </w:p>
    <w:p>
      <w:pPr>
        <w:numPr>
          <w:ilvl w:val="1"/>
          <w:numId w:val="1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依照有关政府采购政策的规定，对符合要求的有效供应商，按照以下比例给予相应的价格扣除：</w:t>
      </w:r>
    </w:p>
    <w:p>
      <w:pPr>
        <w:numPr>
          <w:ilvl w:val="0"/>
          <w:numId w:val="43"/>
        </w:numPr>
        <w:tabs>
          <w:tab w:val="left" w:pos="540"/>
        </w:tabs>
        <w:spacing w:line="360" w:lineRule="auto"/>
        <w:ind w:left="960" w:leftChars="20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对供应商为小型和微型企业且投标产品为小型或微型企业产品，在评审时对其投标价格给予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%的价格扣除。</w:t>
      </w:r>
    </w:p>
    <w:p>
      <w:pPr>
        <w:numPr>
          <w:ilvl w:val="0"/>
          <w:numId w:val="43"/>
        </w:numPr>
        <w:tabs>
          <w:tab w:val="left" w:pos="540"/>
        </w:tabs>
        <w:spacing w:line="360" w:lineRule="auto"/>
        <w:ind w:left="960" w:leftChars="20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监狱企业视同小型、微型企业，在评审时对其投标价格给予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%的价格扣除。</w:t>
      </w:r>
    </w:p>
    <w:p>
      <w:pPr>
        <w:numPr>
          <w:ilvl w:val="0"/>
          <w:numId w:val="43"/>
        </w:numPr>
        <w:tabs>
          <w:tab w:val="left" w:pos="540"/>
        </w:tabs>
        <w:spacing w:line="360" w:lineRule="auto"/>
        <w:ind w:left="960" w:leftChars="20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残疾人福利性单位视同小型、微型企业，在评审时对其投标价格给予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%的价格扣除。</w:t>
      </w:r>
    </w:p>
    <w:p>
      <w:pPr>
        <w:spacing w:line="360" w:lineRule="auto"/>
        <w:jc w:val="left"/>
        <w:rPr>
          <w:rFonts w:ascii="宋体" w:hAnsi="宋体" w:cs="宋体"/>
          <w:color w:val="auto"/>
          <w:szCs w:val="24"/>
          <w:highlight w:val="none"/>
          <w:lang w:val="en-GB"/>
        </w:rPr>
      </w:pPr>
      <w:r>
        <w:rPr>
          <w:rFonts w:hint="eastAsia" w:ascii="宋体" w:hAnsi="宋体" w:cs="宋体"/>
          <w:b/>
          <w:color w:val="auto"/>
          <w:szCs w:val="24"/>
          <w:highlight w:val="none"/>
        </w:rPr>
        <w:t>（注：供应商同时满足以上①②③任意两种或以上条件的，评审中只享受一次价格扣除，不重复进行价格扣除。</w:t>
      </w:r>
      <w:r>
        <w:rPr>
          <w:rFonts w:hint="eastAsia" w:ascii="宋体" w:hAnsi="宋体" w:cs="宋体"/>
          <w:color w:val="auto"/>
          <w:szCs w:val="24"/>
          <w:highlight w:val="none"/>
          <w:lang w:val="en-GB"/>
        </w:rPr>
        <w:t>符合要求的供应商须按采购件附件格式提供“中小企业声明函”（如有）或“监狱企业证明文件”（如有）或“</w:t>
      </w:r>
      <w:bookmarkStart w:id="87" w:name="OLE_LINK14"/>
      <w:bookmarkStart w:id="88" w:name="OLE_LINK13"/>
      <w:r>
        <w:rPr>
          <w:rFonts w:hint="eastAsia" w:ascii="宋体" w:hAnsi="宋体" w:cs="宋体"/>
          <w:color w:val="auto"/>
          <w:szCs w:val="24"/>
          <w:highlight w:val="none"/>
          <w:lang w:val="en-GB"/>
        </w:rPr>
        <w:t>残疾人福利性单位声明函</w:t>
      </w:r>
      <w:bookmarkEnd w:id="87"/>
      <w:bookmarkEnd w:id="88"/>
      <w:r>
        <w:rPr>
          <w:rFonts w:hint="eastAsia" w:ascii="宋体" w:hAnsi="宋体" w:cs="宋体"/>
          <w:color w:val="auto"/>
          <w:szCs w:val="24"/>
          <w:highlight w:val="none"/>
          <w:lang w:val="en-GB"/>
        </w:rPr>
        <w:t>”（如有），供应商如不能完整提供上述资料的将不能享受相应的价格折扣。）</w:t>
      </w:r>
    </w:p>
    <w:p>
      <w:pPr>
        <w:spacing w:line="360" w:lineRule="auto"/>
        <w:rPr>
          <w:rFonts w:ascii="宋体" w:hAnsi="宋体" w:cs="宋体"/>
          <w:color w:val="auto"/>
          <w:szCs w:val="24"/>
          <w:highlight w:val="none"/>
        </w:rPr>
      </w:pPr>
    </w:p>
    <w:p>
      <w:pPr>
        <w:numPr>
          <w:ilvl w:val="1"/>
          <w:numId w:val="19"/>
        </w:numPr>
        <w:tabs>
          <w:tab w:val="left" w:pos="540"/>
        </w:tabs>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经评标委员会审核，满足竞争性磋商文件要求且进行了政策性价格扣除后，以评标价格的最低价者定为评标基准价，其价格分为满分。其他供应商的价格分统一按下列公式折算递减。即：</w:t>
      </w:r>
    </w:p>
    <w:p>
      <w:pPr>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评标基准价 = 评审价格的最低价 = 满</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分</w:t>
      </w:r>
    </w:p>
    <w:p>
      <w:pPr>
        <w:tabs>
          <w:tab w:val="left" w:pos="540"/>
        </w:tabs>
        <w:snapToGrid w:val="0"/>
        <w:spacing w:line="360" w:lineRule="auto"/>
        <w:ind w:left="510"/>
        <w:rPr>
          <w:rFonts w:ascii="宋体" w:hAnsi="宋体" w:cs="宋体"/>
          <w:color w:val="auto"/>
          <w:szCs w:val="24"/>
          <w:highlight w:val="none"/>
          <w:lang w:val="en-GB"/>
        </w:rPr>
      </w:pPr>
      <w:r>
        <w:rPr>
          <w:rFonts w:hint="eastAsia" w:ascii="宋体" w:hAnsi="宋体" w:cs="宋体"/>
          <w:color w:val="auto"/>
          <w:szCs w:val="24"/>
          <w:highlight w:val="none"/>
          <w:lang w:val="en-GB"/>
        </w:rPr>
        <w:t>其他报价得分 = （评标基准价÷评标价格） × 价格部分分值</w:t>
      </w:r>
    </w:p>
    <w:p>
      <w:pPr>
        <w:spacing w:line="360" w:lineRule="auto"/>
        <w:ind w:left="540" w:leftChars="225"/>
        <w:rPr>
          <w:rFonts w:hint="eastAsia"/>
          <w:color w:val="auto"/>
          <w:highlight w:val="none"/>
        </w:rPr>
      </w:pPr>
      <w:r>
        <w:rPr>
          <w:rFonts w:hint="eastAsia" w:ascii="宋体" w:hAnsi="宋体" w:cs="宋体"/>
          <w:color w:val="auto"/>
          <w:szCs w:val="24"/>
          <w:highlight w:val="none"/>
          <w:lang w:val="en-GB"/>
        </w:rPr>
        <w:t>（评标价格、评标基准价均精确到两位小数）</w:t>
      </w:r>
      <w:r>
        <w:rPr>
          <w:rFonts w:hint="eastAsia"/>
          <w:color w:val="auto"/>
          <w:highlight w:val="none"/>
        </w:rPr>
        <w:t xml:space="preserve"> </w:t>
      </w:r>
    </w:p>
    <w:p>
      <w:pPr>
        <w:pStyle w:val="11"/>
        <w:ind w:firstLine="0" w:firstLineChars="0"/>
        <w:rPr>
          <w:rFonts w:hint="eastAsia"/>
          <w:b/>
          <w:bCs/>
          <w:color w:val="auto"/>
          <w:highlight w:val="none"/>
        </w:rPr>
      </w:pPr>
      <w:r>
        <w:rPr>
          <w:rFonts w:hint="eastAsia"/>
          <w:b/>
          <w:bCs/>
          <w:color w:val="auto"/>
          <w:highlight w:val="none"/>
          <w:lang w:val="en-US" w:eastAsia="zh-CN"/>
        </w:rPr>
        <w:t>4</w:t>
      </w:r>
      <w:r>
        <w:rPr>
          <w:rFonts w:hint="eastAsia"/>
          <w:b/>
          <w:bCs/>
          <w:color w:val="auto"/>
          <w:highlight w:val="none"/>
        </w:rPr>
        <w:t>.评分汇总</w:t>
      </w:r>
    </w:p>
    <w:p>
      <w:pPr>
        <w:pStyle w:val="11"/>
        <w:ind w:firstLine="0" w:firstLineChars="0"/>
        <w:rPr>
          <w:rFonts w:hint="eastAsia"/>
          <w:color w:val="auto"/>
          <w:highlight w:val="none"/>
        </w:rPr>
      </w:pPr>
      <w:r>
        <w:rPr>
          <w:rFonts w:hint="eastAsia"/>
          <w:color w:val="auto"/>
          <w:highlight w:val="none"/>
        </w:rPr>
        <w:t>商务总分＝ 各评委评分总和 ÷ 评委人数</w:t>
      </w:r>
    </w:p>
    <w:p>
      <w:pPr>
        <w:pStyle w:val="11"/>
        <w:ind w:firstLine="0" w:firstLineChars="0"/>
        <w:rPr>
          <w:rFonts w:hint="eastAsia"/>
          <w:color w:val="auto"/>
          <w:highlight w:val="none"/>
        </w:rPr>
      </w:pPr>
      <w:r>
        <w:rPr>
          <w:rFonts w:hint="eastAsia"/>
          <w:color w:val="auto"/>
          <w:highlight w:val="none"/>
        </w:rPr>
        <w:t xml:space="preserve">技术总分＝ 各评委评分总和 ÷ 评委人数 </w:t>
      </w:r>
    </w:p>
    <w:p>
      <w:pPr>
        <w:pStyle w:val="11"/>
        <w:ind w:firstLine="0" w:firstLineChars="0"/>
        <w:rPr>
          <w:rFonts w:hint="eastAsia"/>
          <w:color w:val="auto"/>
          <w:highlight w:val="none"/>
        </w:rPr>
      </w:pPr>
      <w:r>
        <w:rPr>
          <w:rFonts w:hint="eastAsia"/>
          <w:color w:val="auto"/>
          <w:highlight w:val="none"/>
        </w:rPr>
        <w:t>综合总分＝商务总分 + 技术总分</w:t>
      </w:r>
    </w:p>
    <w:p>
      <w:pPr>
        <w:pStyle w:val="11"/>
        <w:ind w:firstLine="0" w:firstLineChars="0"/>
        <w:rPr>
          <w:rFonts w:hint="eastAsia"/>
          <w:color w:val="auto"/>
          <w:highlight w:val="none"/>
        </w:rPr>
      </w:pPr>
      <w:r>
        <w:rPr>
          <w:rFonts w:hint="eastAsia"/>
          <w:color w:val="auto"/>
          <w:highlight w:val="none"/>
        </w:rPr>
        <w:t>（每次评分汇总均精确到二位小数）</w:t>
      </w:r>
    </w:p>
    <w:p>
      <w:pPr>
        <w:pStyle w:val="11"/>
        <w:ind w:firstLine="0" w:firstLineChars="0"/>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推荐结果</w:t>
      </w:r>
    </w:p>
    <w:p>
      <w:pPr>
        <w:pStyle w:val="11"/>
        <w:ind w:firstLine="0" w:firstLineChars="0"/>
        <w:rPr>
          <w:rFonts w:hint="eastAsia"/>
          <w:color w:val="auto"/>
          <w:highlight w:val="none"/>
        </w:rPr>
      </w:pPr>
      <w:r>
        <w:rPr>
          <w:rFonts w:hint="eastAsia"/>
          <w:color w:val="auto"/>
          <w:highlight w:val="none"/>
        </w:rPr>
        <w:t>1.采用综合评分法的，评标委员会将按综合总分从高到低顺序排列，推荐中标候选供应商。若候选人综合总分相同时，则依次序以技术总分、商务总分分别进行比对，前单项最高分者优先选录。如仍出现相同时，则由采购人选择确定。</w:t>
      </w:r>
    </w:p>
    <w:p>
      <w:pPr>
        <w:tabs>
          <w:tab w:val="left" w:pos="540"/>
        </w:tabs>
        <w:snapToGrid w:val="0"/>
        <w:spacing w:line="360" w:lineRule="auto"/>
        <w:ind w:left="510"/>
        <w:jc w:val="left"/>
        <w:rPr>
          <w:rFonts w:ascii="宋体" w:hAnsi="宋体" w:cs="宋体"/>
          <w:color w:val="auto"/>
          <w:sz w:val="24"/>
          <w:szCs w:val="24"/>
          <w:highlight w:val="none"/>
          <w:lang w:val="en-GB"/>
        </w:rPr>
      </w:pPr>
    </w:p>
    <w:p>
      <w:pPr>
        <w:tabs>
          <w:tab w:val="left" w:pos="540"/>
        </w:tabs>
        <w:spacing w:line="360" w:lineRule="auto"/>
        <w:rPr>
          <w:rFonts w:ascii="宋体" w:hAnsi="宋体" w:cs="宋体"/>
          <w:color w:val="auto"/>
          <w:szCs w:val="24"/>
          <w:highlight w:val="none"/>
          <w:lang w:val="en-GB"/>
        </w:rPr>
      </w:pPr>
    </w:p>
    <w:p>
      <w:pPr>
        <w:rPr>
          <w:rFonts w:hint="eastAsia" w:ascii="宋体" w:hAnsi="宋体" w:cs="宋体"/>
          <w:color w:val="auto"/>
          <w:sz w:val="24"/>
          <w:szCs w:val="24"/>
          <w:highlight w:val="none"/>
        </w:rPr>
      </w:pPr>
      <w:bookmarkStart w:id="89" w:name="_Toc412904431"/>
      <w:bookmarkStart w:id="90" w:name="_Toc20856"/>
      <w:r>
        <w:rPr>
          <w:rFonts w:hint="eastAsia" w:ascii="宋体" w:hAnsi="宋体" w:cs="宋体"/>
          <w:color w:val="auto"/>
          <w:sz w:val="24"/>
          <w:szCs w:val="24"/>
          <w:highlight w:val="none"/>
        </w:rPr>
        <w:br w:type="page"/>
      </w:r>
    </w:p>
    <w:p>
      <w:pPr>
        <w:pStyle w:val="6"/>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七、确定结果</w:t>
      </w:r>
      <w:bookmarkEnd w:id="89"/>
      <w:r>
        <w:rPr>
          <w:rFonts w:hint="eastAsia" w:ascii="宋体" w:hAnsi="宋体" w:cs="宋体"/>
          <w:color w:val="auto"/>
          <w:sz w:val="24"/>
          <w:szCs w:val="24"/>
          <w:highlight w:val="none"/>
        </w:rPr>
        <w:t>及后续</w:t>
      </w:r>
      <w:bookmarkEnd w:id="90"/>
    </w:p>
    <w:p>
      <w:pPr>
        <w:numPr>
          <w:ilvl w:val="0"/>
          <w:numId w:val="44"/>
        </w:numPr>
        <w:tabs>
          <w:tab w:val="left" w:pos="540"/>
        </w:tabs>
        <w:snapToGrid w:val="0"/>
        <w:spacing w:line="360" w:lineRule="auto"/>
        <w:rPr>
          <w:rFonts w:ascii="宋体" w:hAnsi="宋体" w:cs="宋体"/>
          <w:b/>
          <w:color w:val="auto"/>
          <w:szCs w:val="24"/>
          <w:highlight w:val="none"/>
          <w:lang w:val="en-GB"/>
        </w:rPr>
      </w:pPr>
      <w:bookmarkStart w:id="91" w:name="_Toc163374508"/>
      <w:bookmarkStart w:id="92" w:name="_Toc157583146"/>
      <w:bookmarkStart w:id="93" w:name="_Toc157580086"/>
      <w:bookmarkStart w:id="94" w:name="_Toc185067997"/>
      <w:bookmarkStart w:id="95" w:name="_Toc25726406"/>
      <w:bookmarkStart w:id="96" w:name="_Toc34704912"/>
      <w:bookmarkStart w:id="97" w:name="_Toc26261453"/>
      <w:r>
        <w:rPr>
          <w:rFonts w:hint="eastAsia" w:ascii="宋体" w:hAnsi="宋体" w:cs="宋体"/>
          <w:b/>
          <w:color w:val="auto"/>
          <w:szCs w:val="24"/>
          <w:highlight w:val="none"/>
          <w:lang w:val="en-GB"/>
        </w:rPr>
        <w:t>成交资格的</w:t>
      </w:r>
      <w:bookmarkEnd w:id="91"/>
      <w:bookmarkEnd w:id="92"/>
      <w:bookmarkEnd w:id="93"/>
      <w:bookmarkEnd w:id="94"/>
      <w:r>
        <w:rPr>
          <w:rFonts w:hint="eastAsia" w:ascii="宋体" w:hAnsi="宋体" w:cs="宋体"/>
          <w:b/>
          <w:color w:val="auto"/>
          <w:szCs w:val="24"/>
          <w:highlight w:val="none"/>
          <w:lang w:val="en-GB"/>
        </w:rPr>
        <w:t>确定</w:t>
      </w:r>
    </w:p>
    <w:p>
      <w:pPr>
        <w:tabs>
          <w:tab w:val="left" w:pos="720"/>
        </w:tabs>
        <w:snapToGrid w:val="0"/>
        <w:spacing w:line="360" w:lineRule="auto"/>
        <w:ind w:right="17" w:firstLine="540" w:firstLineChars="225"/>
        <w:rPr>
          <w:rFonts w:ascii="宋体" w:hAnsi="宋体" w:cs="宋体"/>
          <w:color w:val="auto"/>
          <w:szCs w:val="24"/>
          <w:highlight w:val="none"/>
          <w:lang w:val="zh-CN"/>
        </w:rPr>
      </w:pPr>
      <w:r>
        <w:rPr>
          <w:rFonts w:hint="eastAsia" w:ascii="宋体" w:hAnsi="宋体" w:cs="宋体"/>
          <w:color w:val="auto"/>
          <w:szCs w:val="24"/>
          <w:highlight w:val="none"/>
          <w:lang w:val="zh-CN"/>
        </w:rPr>
        <w:t>采购人在法定时间内对评审推荐结果进行确认。采购代理机构将在评审结束后，向采购人提交评审推荐意见，采购人依法确定成交供应商</w:t>
      </w:r>
      <w:r>
        <w:rPr>
          <w:rFonts w:hint="eastAsia" w:ascii="宋体" w:hAnsi="宋体" w:cs="宋体"/>
          <w:b/>
          <w:color w:val="auto"/>
          <w:szCs w:val="24"/>
          <w:highlight w:val="none"/>
          <w:lang w:val="zh-CN"/>
        </w:rPr>
        <w:t>（成交供应商数量：详见《供应商须知前附表》）</w:t>
      </w:r>
      <w:r>
        <w:rPr>
          <w:rFonts w:hint="eastAsia" w:ascii="宋体" w:hAnsi="宋体" w:cs="宋体"/>
          <w:color w:val="auto"/>
          <w:szCs w:val="24"/>
          <w:highlight w:val="none"/>
          <w:lang w:val="zh-CN"/>
        </w:rPr>
        <w:t>。</w:t>
      </w:r>
      <w:bookmarkEnd w:id="95"/>
      <w:bookmarkEnd w:id="96"/>
      <w:bookmarkEnd w:id="97"/>
    </w:p>
    <w:p>
      <w:pPr>
        <w:numPr>
          <w:ilvl w:val="0"/>
          <w:numId w:val="44"/>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替补候选人的适用情形</w:t>
      </w:r>
    </w:p>
    <w:p>
      <w:pPr>
        <w:tabs>
          <w:tab w:val="left" w:pos="1680"/>
        </w:tabs>
        <w:snapToGrid w:val="0"/>
        <w:spacing w:line="360" w:lineRule="auto"/>
        <w:ind w:firstLine="480" w:firstLineChars="200"/>
        <w:rPr>
          <w:rFonts w:ascii="宋体" w:hAnsi="宋体" w:cs="宋体"/>
          <w:color w:val="auto"/>
          <w:szCs w:val="24"/>
          <w:highlight w:val="none"/>
          <w:lang w:val="zh-CN"/>
        </w:rPr>
      </w:pPr>
      <w:r>
        <w:rPr>
          <w:rFonts w:hint="eastAsia" w:ascii="宋体" w:hAnsi="宋体" w:cs="宋体"/>
          <w:color w:val="auto"/>
          <w:szCs w:val="24"/>
          <w:highlight w:val="none"/>
          <w:lang w:val="zh-CN"/>
        </w:rPr>
        <w:t>成交供应商拒绝与采购人签订合同的，采购人可以重新开展政府采购活动。</w:t>
      </w:r>
    </w:p>
    <w:p>
      <w:pPr>
        <w:numPr>
          <w:ilvl w:val="0"/>
          <w:numId w:val="44"/>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成交通知</w:t>
      </w:r>
    </w:p>
    <w:p>
      <w:pPr>
        <w:numPr>
          <w:ilvl w:val="0"/>
          <w:numId w:val="4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成交结果将发布在磋商文件指定媒体，同时，采购代理机构将向成交供应商签发《成交通知书》。</w:t>
      </w:r>
    </w:p>
    <w:p>
      <w:pPr>
        <w:numPr>
          <w:ilvl w:val="0"/>
          <w:numId w:val="4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《成交通知书》将作为授予合同资格的唯一合法依据。</w:t>
      </w:r>
    </w:p>
    <w:p>
      <w:pPr>
        <w:numPr>
          <w:ilvl w:val="0"/>
          <w:numId w:val="45"/>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在未取得合法理由而获批复前，成交供应商擅自放弃成交资格，则须承担相应的违约处罚责任，并赔偿采购人由此所造成的一切经济损失。</w:t>
      </w:r>
    </w:p>
    <w:p>
      <w:pPr>
        <w:numPr>
          <w:ilvl w:val="0"/>
          <w:numId w:val="44"/>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成交服务费（招标代理费）</w:t>
      </w:r>
    </w:p>
    <w:p>
      <w:pPr>
        <w:numPr>
          <w:ilvl w:val="0"/>
          <w:numId w:val="4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成交供应商须按收费标准，在领取《成交通知书》前以银行转账方式一次性向</w:t>
      </w: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lang w:val="en-GB"/>
        </w:rPr>
        <w:t>代理机构缴纳相应的成交服务费。</w:t>
      </w:r>
    </w:p>
    <w:p>
      <w:pPr>
        <w:numPr>
          <w:ilvl w:val="0"/>
          <w:numId w:val="46"/>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成交服务费由成交供应商支付。若无规定，成交服务费应含在投标报价范畴中，但不单列，供应商报价时应考虑此项费用。成交服务费交纳后即为固定金额，成交额（或合同价）的增减，将不影响成交服务费的增减。</w:t>
      </w:r>
    </w:p>
    <w:p>
      <w:pPr>
        <w:numPr>
          <w:ilvl w:val="0"/>
          <w:numId w:val="44"/>
        </w:num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合同签订、争议与跟踪</w:t>
      </w:r>
    </w:p>
    <w:p>
      <w:pPr>
        <w:numPr>
          <w:ilvl w:val="0"/>
          <w:numId w:val="47"/>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采购人与成交供应商自成交通知书发出之日起</w:t>
      </w:r>
      <w:r>
        <w:rPr>
          <w:rFonts w:hint="eastAsia" w:ascii="宋体" w:hAnsi="宋体" w:cs="宋体"/>
          <w:b/>
          <w:color w:val="auto"/>
          <w:szCs w:val="24"/>
          <w:highlight w:val="none"/>
          <w:lang w:val="en-GB"/>
        </w:rPr>
        <w:t>二十日</w:t>
      </w:r>
      <w:r>
        <w:rPr>
          <w:rFonts w:hint="eastAsia" w:ascii="宋体" w:hAnsi="宋体" w:cs="宋体"/>
          <w:color w:val="auto"/>
          <w:szCs w:val="24"/>
          <w:highlight w:val="none"/>
          <w:lang w:val="en-GB"/>
        </w:rPr>
        <w:t>内，按磋商文件要求和成交供应商响应文件承诺签订政府采购合同，但不得超出磋商文件和成交供应商响应文件的范围、也不得再行订立背离合同实质性内容的其他协议。</w:t>
      </w:r>
    </w:p>
    <w:p>
      <w:pPr>
        <w:numPr>
          <w:ilvl w:val="0"/>
          <w:numId w:val="47"/>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文件、响应文件、相关澄清材料及来往确认文件，均作为合同订立和裁定争议的依据，对这些文件个别条款要约的理解存有歧义、偏差、含糊、疏漏等情形时，一切以能够实现项目的功能效果和设计目标为前提，均以采购人的理解判断为准。</w:t>
      </w:r>
    </w:p>
    <w:p>
      <w:pPr>
        <w:numPr>
          <w:ilvl w:val="0"/>
          <w:numId w:val="47"/>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采购人应当自采购合同签订之日起2个工作日内，将采购合同在指定的媒体上公告，但采购合同中涉及国家秘密、商业秘密的内容除外。</w:t>
      </w:r>
    </w:p>
    <w:p>
      <w:pPr>
        <w:numPr>
          <w:ilvl w:val="0"/>
          <w:numId w:val="47"/>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在不违背原采购方案要求和各方认可的文件内容前提下，合同当事人可对合同范本中个别非实质性条款共同协商完善补充修正。</w:t>
      </w:r>
    </w:p>
    <w:p>
      <w:pPr>
        <w:numPr>
          <w:ilvl w:val="0"/>
          <w:numId w:val="47"/>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合同生效后一切行为均适用于《中华人民共和国民法典》，履约期间有违约过错的一方，须承担相应的责任。</w:t>
      </w:r>
    </w:p>
    <w:p>
      <w:pPr>
        <w:numPr>
          <w:ilvl w:val="0"/>
          <w:numId w:val="48"/>
        </w:numPr>
        <w:tabs>
          <w:tab w:val="left" w:pos="540"/>
        </w:tabs>
        <w:snapToGrid w:val="0"/>
        <w:spacing w:line="360" w:lineRule="auto"/>
        <w:rPr>
          <w:rFonts w:ascii="宋体" w:hAnsi="宋体" w:cs="宋体"/>
          <w:b/>
          <w:color w:val="auto"/>
          <w:szCs w:val="24"/>
          <w:highlight w:val="none"/>
          <w:lang w:val="en-GB"/>
        </w:rPr>
      </w:pPr>
      <w:bookmarkStart w:id="98" w:name="_Toc433127783"/>
      <w:r>
        <w:rPr>
          <w:rFonts w:hint="eastAsia" w:ascii="宋体" w:hAnsi="宋体" w:cs="宋体"/>
          <w:b/>
          <w:color w:val="auto"/>
          <w:szCs w:val="24"/>
          <w:highlight w:val="none"/>
          <w:lang w:val="en-GB"/>
        </w:rPr>
        <w:t>询问、质疑、投诉</w:t>
      </w:r>
      <w:bookmarkEnd w:id="98"/>
    </w:p>
    <w:p>
      <w:pPr>
        <w:numPr>
          <w:ilvl w:val="0"/>
          <w:numId w:val="4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询问</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①供应商对政府采购活动事项有疑问的，可以向招标采购单位提出询问，询问可以口头方式提出，也可以书面方式提出。招标采购单位在三个工作日内对供应商依法提出的询问作出答复。</w:t>
      </w:r>
    </w:p>
    <w:p>
      <w:pPr>
        <w:numPr>
          <w:ilvl w:val="0"/>
          <w:numId w:val="4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质疑</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质疑期限：</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①供应商认为磋商文件的内容损害其权益的，应在收到谈判文件之日或者谈判文件公告期届满之日起七个工作日内。</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②供应商认为采购过程损害其权益的，应在各采购程序环节结束之日起七个工作日内。</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③供应商认为中标或者成交结果损害其权益的，应在中标或者成交结果公告期限届满之日起七个工作日内。</w:t>
      </w:r>
    </w:p>
    <w:p>
      <w:pPr>
        <w:numPr>
          <w:ilvl w:val="0"/>
          <w:numId w:val="4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提交要求：</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①以书面形式（加盖供应商公章，供应商以电话、传真或电邮形式提交的质疑属于无效质疑）向招标采购单位提出质疑。</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②质疑书内容：应包括具体的质疑事项、事实依据及相关确凿的证明材料、明确的请求、供应商名称及地址、授权代表姓名及其联系电话、质疑时间。质疑书应当署名并由法定代表人或授权代表签字并加盖公章。供应商递交质疑书时需提供质疑书原件、法定代表人授权委托书（应载明委托代理的具体权限及事项）及授权代表身份证复印件。</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③供应商质疑应当有明确的请求和必要的证明材料，捏造事实、提供虚假材料或者以非法手段取得证明材料不能作为质疑的证明材料。</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④招标采购单位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tabs>
          <w:tab w:val="left" w:pos="540"/>
        </w:tabs>
        <w:snapToGrid w:val="0"/>
        <w:spacing w:line="360" w:lineRule="auto"/>
        <w:ind w:firstLine="480" w:firstLineChars="200"/>
        <w:rPr>
          <w:rFonts w:ascii="宋体" w:hAnsi="宋体" w:cs="宋体"/>
          <w:color w:val="auto"/>
          <w:szCs w:val="24"/>
          <w:highlight w:val="none"/>
          <w:lang w:val="en-GB"/>
        </w:rPr>
      </w:pPr>
      <w:r>
        <w:rPr>
          <w:rFonts w:hint="eastAsia" w:ascii="宋体" w:hAnsi="宋体" w:cs="宋体"/>
          <w:color w:val="auto"/>
          <w:szCs w:val="24"/>
          <w:highlight w:val="none"/>
          <w:lang w:val="en-GB"/>
        </w:rPr>
        <w:t>⑤对于捏造事实、滥用维权扰乱采购秩序的恶意质疑者或举证不全查无实据被驳回次数在一年内达三次以上，将纳入不良行为记录名单并承担相应的法律责任。</w:t>
      </w:r>
    </w:p>
    <w:p>
      <w:pPr>
        <w:numPr>
          <w:ilvl w:val="0"/>
          <w:numId w:val="49"/>
        </w:num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投诉</w:t>
      </w:r>
    </w:p>
    <w:p>
      <w:pPr>
        <w:tabs>
          <w:tab w:val="left" w:pos="540"/>
        </w:tabs>
        <w:snapToGrid w:val="0"/>
        <w:spacing w:line="360" w:lineRule="auto"/>
        <w:ind w:firstLine="480" w:firstLineChars="200"/>
        <w:rPr>
          <w:rFonts w:hint="eastAsia" w:ascii="宋体" w:hAnsi="宋体" w:cs="宋体"/>
          <w:color w:val="auto"/>
          <w:szCs w:val="24"/>
          <w:highlight w:val="none"/>
          <w:lang w:val="en-GB"/>
        </w:rPr>
      </w:pPr>
      <w:r>
        <w:rPr>
          <w:rFonts w:hint="eastAsia" w:ascii="宋体" w:hAnsi="宋体" w:cs="宋体"/>
          <w:color w:val="auto"/>
          <w:szCs w:val="24"/>
          <w:highlight w:val="none"/>
          <w:lang w:val="en-GB"/>
        </w:rPr>
        <w:t>质疑供应商对招标采购单位的质疑答复不满意，或招标采购单位未在规定期限内作出答复的，可以在答复期满后十五个工作日内向同级监管部门提出投诉。</w:t>
      </w:r>
    </w:p>
    <w:p>
      <w:pPr>
        <w:tabs>
          <w:tab w:val="left" w:pos="540"/>
        </w:tabs>
        <w:snapToGrid w:val="0"/>
        <w:spacing w:line="360" w:lineRule="auto"/>
        <w:ind w:firstLine="480" w:firstLineChars="200"/>
        <w:rPr>
          <w:rFonts w:hint="eastAsia" w:ascii="宋体" w:hAnsi="宋体" w:cs="宋体"/>
          <w:color w:val="auto"/>
          <w:szCs w:val="24"/>
          <w:highlight w:val="none"/>
          <w:lang w:val="en-GB"/>
        </w:rPr>
      </w:pPr>
    </w:p>
    <w:p>
      <w:pPr>
        <w:tabs>
          <w:tab w:val="left" w:pos="54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1：询问函格式</w:t>
      </w:r>
    </w:p>
    <w:p>
      <w:pPr>
        <w:pStyle w:val="29"/>
        <w:spacing w:before="0" w:beforeAutospacing="0" w:after="0" w:afterAutospacing="0" w:line="360" w:lineRule="auto"/>
        <w:jc w:val="center"/>
        <w:rPr>
          <w:rStyle w:val="34"/>
          <w:rFonts w:hint="eastAsia" w:ascii="宋体" w:hAnsi="宋体" w:cs="宋体"/>
          <w:color w:val="auto"/>
          <w:highlight w:val="none"/>
        </w:rPr>
      </w:pPr>
    </w:p>
    <w:p>
      <w:pPr>
        <w:pStyle w:val="29"/>
        <w:spacing w:before="0" w:beforeAutospacing="0" w:after="0" w:afterAutospacing="0" w:line="360" w:lineRule="auto"/>
        <w:jc w:val="center"/>
        <w:rPr>
          <w:rStyle w:val="34"/>
          <w:rFonts w:ascii="宋体" w:hAnsi="宋体" w:cs="宋体"/>
          <w:color w:val="auto"/>
          <w:highlight w:val="none"/>
        </w:rPr>
      </w:pPr>
      <w:r>
        <w:rPr>
          <w:rStyle w:val="34"/>
          <w:rFonts w:hint="eastAsia" w:ascii="宋体" w:hAnsi="宋体" w:cs="宋体"/>
          <w:color w:val="auto"/>
          <w:highlight w:val="none"/>
        </w:rPr>
        <w:t>询问函</w:t>
      </w:r>
    </w:p>
    <w:p>
      <w:pPr>
        <w:spacing w:line="360" w:lineRule="auto"/>
        <w:rPr>
          <w:rFonts w:ascii="宋体" w:hAnsi="宋体" w:cs="宋体"/>
          <w:color w:val="auto"/>
          <w:szCs w:val="24"/>
          <w:highlight w:val="none"/>
          <w:u w:val="single"/>
        </w:rPr>
      </w:pPr>
      <w:r>
        <w:rPr>
          <w:rFonts w:hint="eastAsia" w:ascii="宋体" w:hAnsi="宋体" w:cs="宋体"/>
          <w:color w:val="auto"/>
          <w:szCs w:val="24"/>
          <w:highlight w:val="none"/>
          <w:u w:val="single"/>
        </w:rPr>
        <w:t>（政府采购代理机构或采购人）：</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我单位已报名并准备参与</w:t>
      </w:r>
      <w:r>
        <w:rPr>
          <w:rFonts w:hint="eastAsia" w:ascii="宋体" w:hAnsi="宋体" w:cs="宋体"/>
          <w:iCs/>
          <w:color w:val="auto"/>
          <w:szCs w:val="24"/>
          <w:highlight w:val="none"/>
          <w:u w:val="single"/>
        </w:rPr>
        <w:t>（采购项目名称）</w:t>
      </w:r>
      <w:r>
        <w:rPr>
          <w:rFonts w:hint="eastAsia" w:ascii="宋体" w:hAnsi="宋体" w:cs="宋体"/>
          <w:color w:val="auto"/>
          <w:szCs w:val="24"/>
          <w:highlight w:val="none"/>
        </w:rPr>
        <w:t>项目（采购项目编号：）的政府采购（或报价）活动，现有以下几个内容（或条款）存在疑问（或无法理解），特提出询问。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一、_____________________（事项一）</w:t>
      </w:r>
      <w:r>
        <w:rPr>
          <w:rFonts w:hint="eastAsia" w:ascii="宋体" w:hAnsi="宋体" w:cs="宋体"/>
          <w:color w:val="auto"/>
          <w:szCs w:val="24"/>
          <w:highlight w:val="none"/>
        </w:rPr>
        <w:tab/>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（1）____________________（问题或条款内容）</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（2）____________________（说明疑问或无法理解原因）</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（3）____________________（建议）</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二、_____________________（事项二）</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w:t>
      </w:r>
    </w:p>
    <w:p>
      <w:pPr>
        <w:widowControl/>
        <w:tabs>
          <w:tab w:val="left" w:pos="6300"/>
        </w:tabs>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随附相关证明材料如下：（目录）。</w:t>
      </w:r>
    </w:p>
    <w:p>
      <w:pPr>
        <w:widowControl/>
        <w:tabs>
          <w:tab w:val="left" w:pos="6300"/>
        </w:tabs>
        <w:snapToGrid w:val="0"/>
        <w:spacing w:line="360" w:lineRule="auto"/>
        <w:ind w:firstLine="1440" w:firstLineChars="600"/>
        <w:rPr>
          <w:rFonts w:ascii="宋体" w:hAnsi="宋体" w:cs="宋体"/>
          <w:color w:val="auto"/>
          <w:szCs w:val="24"/>
          <w:highlight w:val="none"/>
        </w:rPr>
      </w:pPr>
      <w:r>
        <w:rPr>
          <w:rFonts w:hint="eastAsia" w:ascii="宋体" w:hAnsi="宋体" w:cs="宋体"/>
          <w:color w:val="auto"/>
          <w:szCs w:val="24"/>
          <w:highlight w:val="none"/>
        </w:rPr>
        <w:t>询问人：（公章）</w:t>
      </w:r>
    </w:p>
    <w:p>
      <w:pPr>
        <w:widowControl/>
        <w:tabs>
          <w:tab w:val="left" w:pos="6300"/>
        </w:tabs>
        <w:snapToGrid w:val="0"/>
        <w:spacing w:line="360" w:lineRule="auto"/>
        <w:ind w:firstLine="1440" w:firstLineChars="600"/>
        <w:rPr>
          <w:rFonts w:ascii="宋体" w:hAnsi="宋体" w:cs="宋体"/>
          <w:color w:val="auto"/>
          <w:szCs w:val="24"/>
          <w:highlight w:val="none"/>
        </w:rPr>
      </w:pPr>
      <w:r>
        <w:rPr>
          <w:rFonts w:hint="eastAsia" w:ascii="宋体" w:hAnsi="宋体" w:cs="宋体"/>
          <w:color w:val="auto"/>
          <w:szCs w:val="24"/>
          <w:highlight w:val="none"/>
        </w:rPr>
        <w:t>法定代表人（授权代表）：</w:t>
      </w:r>
    </w:p>
    <w:p>
      <w:pPr>
        <w:tabs>
          <w:tab w:val="left" w:pos="6300"/>
        </w:tabs>
        <w:snapToGrid w:val="0"/>
        <w:spacing w:line="360" w:lineRule="auto"/>
        <w:ind w:firstLine="1440" w:firstLineChars="600"/>
        <w:rPr>
          <w:rFonts w:ascii="宋体" w:hAnsi="宋体" w:cs="宋体"/>
          <w:color w:val="auto"/>
          <w:szCs w:val="24"/>
          <w:highlight w:val="none"/>
        </w:rPr>
      </w:pPr>
      <w:r>
        <w:rPr>
          <w:rFonts w:hint="eastAsia" w:ascii="宋体" w:hAnsi="宋体" w:cs="宋体"/>
          <w:color w:val="auto"/>
          <w:szCs w:val="24"/>
          <w:highlight w:val="none"/>
        </w:rPr>
        <w:t>地址/邮编：</w:t>
      </w:r>
    </w:p>
    <w:p>
      <w:pPr>
        <w:tabs>
          <w:tab w:val="left" w:pos="6300"/>
        </w:tabs>
        <w:snapToGrid w:val="0"/>
        <w:spacing w:line="360" w:lineRule="auto"/>
        <w:ind w:firstLine="1440" w:firstLineChars="600"/>
        <w:rPr>
          <w:rFonts w:ascii="宋体" w:hAnsi="宋体" w:cs="宋体"/>
          <w:color w:val="auto"/>
          <w:szCs w:val="24"/>
          <w:highlight w:val="none"/>
        </w:rPr>
      </w:pPr>
      <w:r>
        <w:rPr>
          <w:rFonts w:hint="eastAsia" w:ascii="宋体" w:hAnsi="宋体" w:cs="宋体"/>
          <w:color w:val="auto"/>
          <w:szCs w:val="24"/>
          <w:highlight w:val="none"/>
        </w:rPr>
        <w:t>电话/传真：</w:t>
      </w:r>
    </w:p>
    <w:p>
      <w:pPr>
        <w:spacing w:line="360" w:lineRule="auto"/>
        <w:jc w:val="right"/>
        <w:rPr>
          <w:rFonts w:ascii="宋体" w:hAnsi="宋体" w:cs="宋体"/>
          <w:color w:val="auto"/>
          <w:szCs w:val="24"/>
          <w:highlight w:val="none"/>
        </w:rPr>
      </w:pPr>
      <w:r>
        <w:rPr>
          <w:rFonts w:hint="eastAsia" w:ascii="宋体" w:hAnsi="宋体" w:cs="宋体"/>
          <w:color w:val="auto"/>
          <w:szCs w:val="24"/>
          <w:highlight w:val="none"/>
        </w:rPr>
        <w:t>年月日</w:t>
      </w:r>
    </w:p>
    <w:p>
      <w:pPr>
        <w:snapToGrid w:val="0"/>
        <w:spacing w:line="360" w:lineRule="auto"/>
        <w:ind w:firstLine="432" w:firstLineChars="180"/>
        <w:rPr>
          <w:rFonts w:ascii="宋体" w:hAnsi="宋体" w:cs="宋体"/>
          <w:color w:val="auto"/>
          <w:szCs w:val="24"/>
          <w:highlight w:val="none"/>
        </w:rPr>
      </w:pPr>
    </w:p>
    <w:p>
      <w:pPr>
        <w:pStyle w:val="29"/>
        <w:snapToGrid w:val="0"/>
        <w:spacing w:before="0" w:beforeAutospacing="0" w:after="0" w:afterAutospacing="0" w:line="360" w:lineRule="auto"/>
        <w:jc w:val="both"/>
        <w:rPr>
          <w:rFonts w:cs="宋体"/>
          <w:color w:val="auto"/>
          <w:highlight w:val="none"/>
        </w:rPr>
      </w:pPr>
      <w:r>
        <w:rPr>
          <w:rFonts w:hint="eastAsia" w:cs="宋体"/>
          <w:color w:val="auto"/>
          <w:highlight w:val="none"/>
        </w:rPr>
        <w:br w:type="page"/>
      </w:r>
      <w:r>
        <w:rPr>
          <w:rFonts w:hint="eastAsia" w:cs="宋体"/>
          <w:color w:val="auto"/>
          <w:highlight w:val="none"/>
        </w:rPr>
        <w:t>2：质疑函格式</w:t>
      </w:r>
    </w:p>
    <w:p>
      <w:pPr>
        <w:pStyle w:val="29"/>
        <w:spacing w:before="0" w:beforeAutospacing="0" w:after="0" w:afterAutospacing="0" w:line="360" w:lineRule="auto"/>
        <w:jc w:val="center"/>
        <w:rPr>
          <w:rStyle w:val="34"/>
          <w:rFonts w:ascii="宋体" w:hAnsi="宋体" w:cs="宋体"/>
          <w:color w:val="auto"/>
          <w:highlight w:val="none"/>
        </w:rPr>
      </w:pPr>
      <w:r>
        <w:rPr>
          <w:rStyle w:val="34"/>
          <w:rFonts w:hint="eastAsia" w:ascii="宋体" w:hAnsi="宋体" w:cs="宋体"/>
          <w:color w:val="auto"/>
          <w:highlight w:val="none"/>
        </w:rPr>
        <w:t>关于</w:t>
      </w:r>
      <w:r>
        <w:rPr>
          <w:rStyle w:val="34"/>
          <w:rFonts w:hint="eastAsia" w:ascii="宋体" w:hAnsi="宋体" w:cs="宋体"/>
          <w:color w:val="auto"/>
          <w:highlight w:val="none"/>
          <w:u w:val="single"/>
        </w:rPr>
        <w:t>（采购人）（项目名称）</w:t>
      </w:r>
      <w:r>
        <w:rPr>
          <w:rStyle w:val="34"/>
          <w:rFonts w:hint="eastAsia" w:ascii="宋体" w:hAnsi="宋体" w:cs="宋体"/>
          <w:color w:val="auto"/>
          <w:highlight w:val="none"/>
        </w:rPr>
        <w:t>的质疑函</w:t>
      </w:r>
    </w:p>
    <w:p>
      <w:pPr>
        <w:widowControl/>
        <w:spacing w:line="360" w:lineRule="auto"/>
        <w:jc w:val="center"/>
        <w:rPr>
          <w:rFonts w:ascii="宋体" w:hAnsi="宋体" w:cs="宋体"/>
          <w:color w:val="auto"/>
          <w:kern w:val="0"/>
          <w:szCs w:val="24"/>
          <w:highlight w:val="none"/>
        </w:rPr>
      </w:pPr>
      <w:r>
        <w:rPr>
          <w:rFonts w:hint="eastAsia" w:ascii="宋体" w:hAnsi="宋体" w:cs="宋体"/>
          <w:color w:val="auto"/>
          <w:kern w:val="0"/>
          <w:szCs w:val="24"/>
          <w:highlight w:val="none"/>
        </w:rPr>
        <w:t>(可根据质疑内容增加或删减)</w:t>
      </w:r>
    </w:p>
    <w:p>
      <w:pPr>
        <w:widowControl/>
        <w:snapToGrid w:val="0"/>
        <w:spacing w:line="360" w:lineRule="auto"/>
        <w:jc w:val="left"/>
        <w:rPr>
          <w:rFonts w:ascii="宋体" w:hAnsi="宋体" w:cs="宋体"/>
          <w:color w:val="auto"/>
          <w:szCs w:val="24"/>
          <w:highlight w:val="none"/>
          <w:u w:val="single"/>
        </w:rPr>
      </w:pPr>
    </w:p>
    <w:p>
      <w:pPr>
        <w:widowControl/>
        <w:snapToGrid w:val="0"/>
        <w:spacing w:line="360" w:lineRule="auto"/>
        <w:jc w:val="left"/>
        <w:rPr>
          <w:rFonts w:ascii="宋体" w:hAnsi="宋体" w:cs="宋体"/>
          <w:color w:val="auto"/>
          <w:szCs w:val="24"/>
          <w:highlight w:val="none"/>
        </w:rPr>
      </w:pPr>
      <w:r>
        <w:rPr>
          <w:rFonts w:hint="eastAsia" w:ascii="宋体" w:hAnsi="宋体" w:cs="宋体"/>
          <w:color w:val="auto"/>
          <w:szCs w:val="24"/>
          <w:highlight w:val="none"/>
          <w:u w:val="single"/>
        </w:rPr>
        <w:t xml:space="preserve">采购人名称/采购代理机构名称 </w:t>
      </w:r>
      <w:r>
        <w:rPr>
          <w:rFonts w:hint="eastAsia" w:ascii="宋体" w:hAnsi="宋体" w:cs="宋体"/>
          <w:color w:val="auto"/>
          <w:szCs w:val="24"/>
          <w:highlight w:val="none"/>
        </w:rPr>
        <w:t>：</w:t>
      </w:r>
    </w:p>
    <w:p>
      <w:pPr>
        <w:adjustRightInd w:val="0"/>
        <w:snapToGrid w:val="0"/>
        <w:spacing w:before="240" w:beforeLines="100" w:line="360" w:lineRule="auto"/>
        <w:rPr>
          <w:rFonts w:ascii="宋体" w:hAnsi="宋体" w:cs="宋体"/>
          <w:bCs/>
          <w:color w:val="auto"/>
          <w:szCs w:val="24"/>
          <w:highlight w:val="none"/>
        </w:rPr>
      </w:pPr>
      <w:r>
        <w:rPr>
          <w:rFonts w:hint="eastAsia" w:ascii="宋体" w:hAnsi="宋体" w:cs="宋体"/>
          <w:bCs/>
          <w:color w:val="auto"/>
          <w:szCs w:val="24"/>
          <w:highlight w:val="none"/>
        </w:rPr>
        <w:t>一、质疑供应商基本信息</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质疑供应商：</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地址：邮编：</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联系人：联系电话：</w:t>
      </w:r>
    </w:p>
    <w:p>
      <w:pPr>
        <w:adjustRightInd w:val="0"/>
        <w:snapToGrid w:val="0"/>
        <w:spacing w:line="360" w:lineRule="auto"/>
        <w:rPr>
          <w:rFonts w:ascii="宋体" w:hAnsi="宋体" w:cs="宋体"/>
          <w:color w:val="auto"/>
          <w:szCs w:val="24"/>
          <w:highlight w:val="none"/>
          <w:u w:val="single"/>
        </w:rPr>
      </w:pPr>
      <w:r>
        <w:rPr>
          <w:rFonts w:hint="eastAsia" w:ascii="宋体" w:hAnsi="宋体" w:cs="宋体"/>
          <w:color w:val="auto"/>
          <w:szCs w:val="24"/>
          <w:highlight w:val="none"/>
        </w:rPr>
        <w:t>授权代表：联系电话：</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地址： 邮编：</w:t>
      </w:r>
    </w:p>
    <w:p>
      <w:pPr>
        <w:adjustRightInd w:val="0"/>
        <w:snapToGrid w:val="0"/>
        <w:spacing w:line="360" w:lineRule="auto"/>
        <w:rPr>
          <w:rFonts w:ascii="宋体" w:hAnsi="宋体" w:cs="宋体"/>
          <w:bCs/>
          <w:color w:val="auto"/>
          <w:szCs w:val="24"/>
          <w:highlight w:val="none"/>
        </w:rPr>
      </w:pPr>
      <w:r>
        <w:rPr>
          <w:rFonts w:hint="eastAsia" w:ascii="宋体" w:hAnsi="宋体" w:cs="宋体"/>
          <w:bCs/>
          <w:color w:val="auto"/>
          <w:szCs w:val="24"/>
          <w:highlight w:val="none"/>
        </w:rPr>
        <w:t>二、质疑项目基本情况</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质疑项目的名称：</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质疑项目的编号：</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采购人名称：</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采购文件获取日期：</w:t>
      </w:r>
    </w:p>
    <w:p>
      <w:pPr>
        <w:adjustRightInd w:val="0"/>
        <w:snapToGrid w:val="0"/>
        <w:spacing w:line="360" w:lineRule="auto"/>
        <w:rPr>
          <w:rFonts w:ascii="宋体" w:hAnsi="宋体" w:cs="宋体"/>
          <w:bCs/>
          <w:color w:val="auto"/>
          <w:szCs w:val="24"/>
          <w:highlight w:val="none"/>
        </w:rPr>
      </w:pPr>
      <w:r>
        <w:rPr>
          <w:rFonts w:hint="eastAsia" w:ascii="宋体" w:hAnsi="宋体" w:cs="宋体"/>
          <w:bCs/>
          <w:color w:val="auto"/>
          <w:szCs w:val="24"/>
          <w:highlight w:val="none"/>
        </w:rPr>
        <w:t>三、质疑事项具体内容</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质疑事项1：</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事实依据：</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法律依据：</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证据来源：</w:t>
      </w:r>
    </w:p>
    <w:p>
      <w:pPr>
        <w:adjustRightInd w:val="0"/>
        <w:snapToGrid w:val="0"/>
        <w:spacing w:line="360" w:lineRule="auto"/>
        <w:rPr>
          <w:rFonts w:ascii="宋体" w:hAnsi="宋体" w:cs="宋体"/>
          <w:color w:val="auto"/>
          <w:szCs w:val="24"/>
          <w:highlight w:val="none"/>
          <w:u w:val="dotted"/>
        </w:rPr>
      </w:pPr>
      <w:r>
        <w:rPr>
          <w:rFonts w:hint="eastAsia" w:ascii="宋体" w:hAnsi="宋体" w:cs="宋体"/>
          <w:color w:val="auto"/>
          <w:szCs w:val="24"/>
          <w:highlight w:val="none"/>
        </w:rPr>
        <w:t>质疑事项2</w:t>
      </w:r>
    </w:p>
    <w:p>
      <w:pPr>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w:t>
      </w:r>
    </w:p>
    <w:p>
      <w:pPr>
        <w:adjustRightInd w:val="0"/>
        <w:snapToGrid w:val="0"/>
        <w:spacing w:line="360" w:lineRule="auto"/>
        <w:rPr>
          <w:rFonts w:ascii="宋体" w:hAnsi="宋体" w:cs="宋体"/>
          <w:bCs/>
          <w:color w:val="auto"/>
          <w:szCs w:val="24"/>
          <w:highlight w:val="none"/>
        </w:rPr>
      </w:pPr>
      <w:r>
        <w:rPr>
          <w:rFonts w:hint="eastAsia" w:ascii="宋体" w:hAnsi="宋体" w:cs="宋体"/>
          <w:bCs/>
          <w:color w:val="auto"/>
          <w:szCs w:val="24"/>
          <w:highlight w:val="none"/>
        </w:rPr>
        <w:t>四、与质疑事项相关的质疑请求</w:t>
      </w:r>
    </w:p>
    <w:p>
      <w:pPr>
        <w:adjustRightInd w:val="0"/>
        <w:snapToGrid w:val="0"/>
        <w:spacing w:line="360" w:lineRule="auto"/>
        <w:rPr>
          <w:rFonts w:ascii="宋体" w:hAnsi="宋体" w:cs="宋体"/>
          <w:color w:val="auto"/>
          <w:szCs w:val="24"/>
          <w:highlight w:val="none"/>
          <w:u w:val="single"/>
        </w:rPr>
      </w:pPr>
      <w:r>
        <w:rPr>
          <w:rFonts w:hint="eastAsia" w:ascii="宋体" w:hAnsi="宋体" w:cs="宋体"/>
          <w:color w:val="auto"/>
          <w:szCs w:val="24"/>
          <w:highlight w:val="none"/>
        </w:rPr>
        <w:t>请求：</w:t>
      </w:r>
    </w:p>
    <w:p>
      <w:pPr>
        <w:spacing w:line="360" w:lineRule="auto"/>
        <w:rPr>
          <w:rFonts w:ascii="宋体" w:hAnsi="宋体" w:cs="宋体"/>
          <w:color w:val="auto"/>
          <w:szCs w:val="24"/>
          <w:highlight w:val="none"/>
        </w:rPr>
      </w:pPr>
      <w:r>
        <w:rPr>
          <w:rFonts w:hint="eastAsia" w:ascii="宋体" w:hAnsi="宋体" w:cs="宋体"/>
          <w:color w:val="auto"/>
          <w:szCs w:val="24"/>
          <w:highlight w:val="none"/>
        </w:rPr>
        <w:t>质疑人（法人公章）：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质疑人联系人（签字或签章)：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提出质疑的日期：   年  月  日</w:t>
      </w:r>
    </w:p>
    <w:p>
      <w:pPr>
        <w:widowControl/>
        <w:snapToGrid w:val="0"/>
        <w:spacing w:line="360" w:lineRule="auto"/>
        <w:ind w:right="84"/>
        <w:rPr>
          <w:rFonts w:ascii="宋体" w:hAnsi="宋体" w:cs="宋体"/>
          <w:b/>
          <w:color w:val="auto"/>
          <w:szCs w:val="24"/>
          <w:highlight w:val="none"/>
        </w:rPr>
      </w:pPr>
    </w:p>
    <w:p>
      <w:pPr>
        <w:widowControl/>
        <w:snapToGrid w:val="0"/>
        <w:spacing w:line="360" w:lineRule="auto"/>
        <w:ind w:right="84"/>
        <w:rPr>
          <w:rFonts w:ascii="宋体" w:hAnsi="宋体" w:cs="宋体"/>
          <w:b/>
          <w:color w:val="auto"/>
          <w:szCs w:val="24"/>
          <w:highlight w:val="none"/>
        </w:rPr>
      </w:pPr>
    </w:p>
    <w:p>
      <w:pPr>
        <w:widowControl/>
        <w:snapToGrid w:val="0"/>
        <w:spacing w:line="360" w:lineRule="auto"/>
        <w:ind w:right="84"/>
        <w:rPr>
          <w:rFonts w:ascii="宋体" w:hAnsi="宋体" w:cs="宋体"/>
          <w:b/>
          <w:color w:val="auto"/>
          <w:szCs w:val="24"/>
          <w:highlight w:val="none"/>
        </w:rPr>
      </w:pPr>
      <w:r>
        <w:rPr>
          <w:rFonts w:hint="eastAsia" w:ascii="宋体" w:hAnsi="宋体" w:cs="宋体"/>
          <w:b/>
          <w:color w:val="auto"/>
          <w:szCs w:val="24"/>
          <w:highlight w:val="none"/>
        </w:rPr>
        <w:t>备注（1）：</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供应商提出质疑时，应提交质疑函和必要的证明材料。</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lang w:val="en-GB"/>
        </w:rPr>
        <w:t>在法定质疑期内，供应商针对同一采购程序环节的质疑须一次性提出。</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质疑函的质疑事项应具体、明确，每个质疑事项应有与之相对应的必要事实依据和法律依据。质疑事项属于涉密的，应提供信息来源或有效证据。</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供应商质疑应当有明确的请求，质疑请求应与质疑事项相关。</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质疑供应商为自然人的，质疑函应由本人签字；质疑供应商为法人或者其他组织的，质疑函应由法定代表人、主要负责人，或者其授权代表签字或者盖章，并加盖单位公章，多页时须同时加盖骑缝章。</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质疑供应商若委托代理人进行质疑的，质疑函应按要求列明“授权代表”的有关内容，并在附件中提交由质疑供应商签署的授权委托书</w:t>
      </w:r>
      <w:r>
        <w:rPr>
          <w:rFonts w:hint="eastAsia" w:ascii="宋体" w:hAnsi="宋体" w:cs="宋体"/>
          <w:b/>
          <w:color w:val="auto"/>
          <w:szCs w:val="24"/>
          <w:highlight w:val="none"/>
        </w:rPr>
        <w:t>（格式见后）</w:t>
      </w:r>
      <w:r>
        <w:rPr>
          <w:rFonts w:hint="eastAsia" w:ascii="宋体" w:hAnsi="宋体" w:cs="宋体"/>
          <w:color w:val="auto"/>
          <w:szCs w:val="24"/>
          <w:highlight w:val="none"/>
        </w:rPr>
        <w:t>。授权委托书应载明代理人的姓名或者名称、代理事项、具体权限、期限和相关事项。递交质疑函时，需出示代理人的身份证原件，并在受理表上进行登记、确认。</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pStyle w:val="92"/>
        <w:widowControl/>
        <w:numPr>
          <w:ilvl w:val="0"/>
          <w:numId w:val="50"/>
        </w:numPr>
        <w:snapToGrid w:val="0"/>
        <w:spacing w:line="360" w:lineRule="auto"/>
        <w:ind w:right="84" w:firstLine="480"/>
        <w:rPr>
          <w:rFonts w:ascii="宋体" w:hAnsi="宋体" w:cs="宋体"/>
          <w:color w:val="auto"/>
          <w:szCs w:val="24"/>
          <w:highlight w:val="none"/>
        </w:rPr>
      </w:pPr>
      <w:r>
        <w:rPr>
          <w:rFonts w:hint="eastAsia" w:ascii="宋体" w:hAnsi="宋体" w:cs="宋体"/>
          <w:color w:val="auto"/>
          <w:szCs w:val="24"/>
          <w:highlight w:val="none"/>
        </w:rPr>
        <w:t>不按上述要求拟写的质疑函，将不予受理。</w:t>
      </w:r>
    </w:p>
    <w:p>
      <w:pPr>
        <w:spacing w:line="360" w:lineRule="auto"/>
        <w:rPr>
          <w:rFonts w:ascii="宋体" w:hAnsi="宋体" w:cs="宋体"/>
          <w:b/>
          <w:bCs/>
          <w:color w:val="auto"/>
          <w:szCs w:val="24"/>
          <w:highlight w:val="none"/>
        </w:rPr>
      </w:pPr>
      <w:r>
        <w:rPr>
          <w:rFonts w:hint="eastAsia" w:ascii="宋体" w:hAnsi="宋体" w:cs="宋体"/>
          <w:b/>
          <w:bCs/>
          <w:color w:val="auto"/>
          <w:szCs w:val="24"/>
          <w:highlight w:val="none"/>
        </w:rPr>
        <w:t>备注（2）</w:t>
      </w:r>
    </w:p>
    <w:p>
      <w:pPr>
        <w:numPr>
          <w:ilvl w:val="0"/>
          <w:numId w:val="51"/>
        </w:numPr>
        <w:tabs>
          <w:tab w:val="left" w:pos="562"/>
        </w:tabs>
        <w:spacing w:line="360" w:lineRule="auto"/>
        <w:rPr>
          <w:rFonts w:ascii="宋体" w:hAnsi="宋体" w:cs="宋体"/>
          <w:color w:val="auto"/>
          <w:szCs w:val="24"/>
          <w:highlight w:val="none"/>
        </w:rPr>
      </w:pPr>
      <w:r>
        <w:rPr>
          <w:rFonts w:hint="eastAsia" w:ascii="宋体" w:hAnsi="宋体" w:cs="宋体"/>
          <w:color w:val="auto"/>
          <w:szCs w:val="24"/>
          <w:highlight w:val="none"/>
        </w:rPr>
        <w:t>本部分格式为供应商提交质疑函时使用，不属于投标（响应）文件格式的组成部分；</w:t>
      </w:r>
    </w:p>
    <w:p>
      <w:pPr>
        <w:numPr>
          <w:ilvl w:val="0"/>
          <w:numId w:val="51"/>
        </w:numPr>
        <w:tabs>
          <w:tab w:val="left" w:pos="562"/>
        </w:tabs>
        <w:spacing w:line="360" w:lineRule="auto"/>
        <w:rPr>
          <w:rFonts w:ascii="宋体" w:hAnsi="宋体" w:cs="宋体"/>
          <w:color w:val="auto"/>
          <w:szCs w:val="24"/>
          <w:highlight w:val="none"/>
        </w:rPr>
      </w:pPr>
      <w:r>
        <w:rPr>
          <w:rFonts w:hint="eastAsia" w:ascii="宋体" w:hAnsi="宋体" w:cs="宋体"/>
          <w:color w:val="auto"/>
          <w:szCs w:val="24"/>
          <w:highlight w:val="none"/>
        </w:rPr>
        <w:t>供应商如需对项目提出质疑时，应按质疑函的格式提交；</w:t>
      </w:r>
    </w:p>
    <w:p>
      <w:pPr>
        <w:numPr>
          <w:ilvl w:val="0"/>
          <w:numId w:val="51"/>
        </w:numPr>
        <w:tabs>
          <w:tab w:val="left" w:pos="562"/>
        </w:tabs>
        <w:spacing w:line="360" w:lineRule="auto"/>
        <w:rPr>
          <w:rFonts w:ascii="宋体" w:hAnsi="宋体" w:cs="宋体"/>
          <w:color w:val="auto"/>
          <w:szCs w:val="24"/>
          <w:highlight w:val="none"/>
        </w:rPr>
      </w:pPr>
      <w:r>
        <w:rPr>
          <w:rFonts w:hint="eastAsia" w:ascii="宋体" w:hAnsi="宋体" w:cs="宋体"/>
          <w:color w:val="auto"/>
          <w:szCs w:val="24"/>
          <w:highlight w:val="none"/>
        </w:rPr>
        <w:t>提交质疑函时须同时提交授权委托书。</w:t>
      </w:r>
    </w:p>
    <w:p>
      <w:pPr>
        <w:pStyle w:val="96"/>
        <w:spacing w:line="360" w:lineRule="auto"/>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质疑函附件：</w:t>
      </w:r>
    </w:p>
    <w:p>
      <w:pPr>
        <w:pStyle w:val="96"/>
        <w:spacing w:line="360" w:lineRule="auto"/>
        <w:jc w:val="center"/>
        <w:rPr>
          <w:rFonts w:ascii="宋体" w:hAnsi="宋体" w:cs="宋体"/>
          <w:b/>
          <w:color w:val="auto"/>
          <w:highlight w:val="none"/>
        </w:rPr>
      </w:pPr>
      <w:r>
        <w:rPr>
          <w:rFonts w:hint="eastAsia" w:ascii="宋体" w:hAnsi="宋体" w:cs="宋体"/>
          <w:b/>
          <w:color w:val="auto"/>
          <w:highlight w:val="none"/>
        </w:rPr>
        <w:t>授权委托书</w:t>
      </w:r>
    </w:p>
    <w:p>
      <w:pPr>
        <w:spacing w:line="360" w:lineRule="auto"/>
        <w:rPr>
          <w:rFonts w:ascii="宋体" w:hAnsi="宋体" w:cs="宋体"/>
          <w:color w:val="auto"/>
          <w:szCs w:val="24"/>
          <w:highlight w:val="none"/>
        </w:rPr>
      </w:pPr>
    </w:p>
    <w:p>
      <w:pPr>
        <w:pStyle w:val="96"/>
        <w:spacing w:line="360" w:lineRule="auto"/>
        <w:ind w:left="420" w:hanging="420"/>
        <w:rPr>
          <w:rFonts w:ascii="宋体" w:hAnsi="宋体" w:cs="宋体"/>
          <w:bCs/>
          <w:color w:val="auto"/>
          <w:highlight w:val="none"/>
          <w:lang w:val="en-GB"/>
        </w:rPr>
      </w:pPr>
    </w:p>
    <w:p>
      <w:pPr>
        <w:pStyle w:val="96"/>
        <w:spacing w:line="360" w:lineRule="auto"/>
        <w:ind w:left="420" w:hanging="420"/>
        <w:rPr>
          <w:rFonts w:ascii="宋体" w:hAnsi="宋体" w:cs="宋体"/>
          <w:bCs/>
          <w:color w:val="auto"/>
          <w:highlight w:val="none"/>
          <w:lang w:val="en-GB"/>
        </w:rPr>
      </w:pPr>
      <w:r>
        <w:rPr>
          <w:rFonts w:hint="eastAsia" w:ascii="宋体" w:hAnsi="宋体" w:cs="宋体"/>
          <w:bCs/>
          <w:color w:val="auto"/>
          <w:highlight w:val="none"/>
          <w:lang w:val="en-GB"/>
        </w:rPr>
        <w:t xml:space="preserve">致  </w:t>
      </w:r>
      <w:r>
        <w:rPr>
          <w:rFonts w:hint="eastAsia" w:ascii="宋体" w:hAnsi="宋体" w:cs="宋体"/>
          <w:color w:val="auto"/>
          <w:highlight w:val="none"/>
          <w:u w:val="single"/>
        </w:rPr>
        <w:t>采购人名称/采购代理机构名称</w:t>
      </w:r>
      <w:r>
        <w:rPr>
          <w:rFonts w:hint="eastAsia" w:ascii="宋体" w:hAnsi="宋体" w:cs="宋体"/>
          <w:bCs/>
          <w:color w:val="auto"/>
          <w:highlight w:val="none"/>
          <w:lang w:val="en-GB"/>
        </w:rPr>
        <w:t>：</w:t>
      </w:r>
    </w:p>
    <w:p>
      <w:pPr>
        <w:pStyle w:val="96"/>
        <w:spacing w:line="360" w:lineRule="auto"/>
        <w:ind w:left="420" w:hanging="420"/>
        <w:rPr>
          <w:rFonts w:ascii="宋体" w:hAnsi="宋体" w:cs="宋体"/>
          <w:bCs/>
          <w:color w:val="auto"/>
          <w:highlight w:val="none"/>
          <w:lang w:val="en-GB"/>
        </w:rPr>
      </w:pPr>
    </w:p>
    <w:p>
      <w:pPr>
        <w:pStyle w:val="96"/>
        <w:spacing w:line="360" w:lineRule="auto"/>
        <w:ind w:firstLine="480"/>
        <w:rPr>
          <w:rFonts w:ascii="宋体" w:hAnsi="宋体" w:cs="宋体"/>
          <w:color w:val="auto"/>
          <w:highlight w:val="none"/>
          <w:lang w:val="en-GB"/>
        </w:rPr>
      </w:pPr>
      <w:r>
        <w:rPr>
          <w:rFonts w:hint="eastAsia" w:ascii="宋体" w:hAnsi="宋体" w:cs="宋体"/>
          <w:color w:val="auto"/>
          <w:highlight w:val="none"/>
          <w:lang w:val="en-GB"/>
        </w:rPr>
        <w:t>我单位特授权委任：以下人员作为我方唯一全权代表，前往贵单位办理政府采购业务（</w:t>
      </w:r>
      <w:r>
        <w:rPr>
          <w:rFonts w:hint="eastAsia" w:ascii="宋体" w:hAnsi="宋体" w:cs="宋体"/>
          <w:color w:val="auto"/>
          <w:highlight w:val="none"/>
          <w:u w:val="single"/>
          <w:lang w:val="en-GB"/>
        </w:rPr>
        <w:t xml:space="preserve"> 递交项目质疑函 </w:t>
      </w:r>
      <w:r>
        <w:rPr>
          <w:rFonts w:hint="eastAsia" w:ascii="宋体" w:hAnsi="宋体" w:cs="宋体"/>
          <w:color w:val="auto"/>
          <w:highlight w:val="none"/>
          <w:lang w:val="en-GB"/>
        </w:rPr>
        <w:t>），对该代表人所提供、签署的一切文书均视为符合我方的合法利益和真实意愿，我方愿为其行为承担全部责任。</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rPr>
        <w:fldChar w:fldCharType="begin"/>
      </w:r>
      <w:r>
        <w:rPr>
          <w:rFonts w:hint="eastAsia" w:ascii="宋体" w:hAnsi="宋体" w:cs="宋体"/>
          <w:color w:val="auto"/>
          <w:highlight w:val="none"/>
        </w:rPr>
        <w:instrText xml:space="preserve"> DOCVARIABLE  采购编号  \* MERGEFORMAT </w:instrText>
      </w:r>
      <w:r>
        <w:rPr>
          <w:rFonts w:hint="eastAsia" w:ascii="宋体" w:hAnsi="宋体" w:cs="宋体"/>
          <w:color w:val="auto"/>
          <w:highlight w:val="none"/>
        </w:rPr>
        <w:fldChar w:fldCharType="end"/>
      </w:r>
    </w:p>
    <w:p>
      <w:pPr>
        <w:pStyle w:val="96"/>
        <w:spacing w:line="360" w:lineRule="auto"/>
        <w:ind w:firstLine="480"/>
        <w:jc w:val="left"/>
        <w:rPr>
          <w:rFonts w:ascii="宋体" w:hAnsi="宋体" w:cs="宋体"/>
          <w:bCs/>
          <w:color w:val="auto"/>
          <w:highlight w:val="none"/>
        </w:rPr>
      </w:pPr>
      <w:r>
        <w:rPr>
          <w:rFonts w:hint="eastAsia" w:ascii="宋体" w:hAnsi="宋体" w:cs="宋体"/>
          <w:color w:val="auto"/>
          <w:highlight w:val="none"/>
        </w:rPr>
        <w:t>项目名称：</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委任授权代表姓名：，身份证号码：</w:t>
      </w:r>
    </w:p>
    <w:p>
      <w:pPr>
        <w:pStyle w:val="96"/>
        <w:spacing w:line="360" w:lineRule="auto"/>
        <w:ind w:firstLine="480"/>
        <w:jc w:val="left"/>
        <w:rPr>
          <w:rFonts w:ascii="宋体" w:hAnsi="宋体" w:cs="宋体"/>
          <w:color w:val="auto"/>
          <w:highlight w:val="none"/>
          <w:lang w:val="en-GB"/>
        </w:rPr>
      </w:pPr>
      <w:r>
        <w:rPr>
          <w:rFonts w:hint="eastAsia" w:ascii="宋体" w:hAnsi="宋体" w:cs="宋体"/>
          <w:color w:val="auto"/>
          <w:highlight w:val="none"/>
          <w:lang w:val="en-GB"/>
        </w:rPr>
        <w:t>联系电话：；手机：；</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单位联系电话</w:t>
      </w:r>
      <w:r>
        <w:rPr>
          <w:rFonts w:hint="eastAsia" w:ascii="宋体" w:hAnsi="宋体" w:cs="宋体"/>
          <w:color w:val="auto"/>
          <w:highlight w:val="none"/>
          <w:lang w:val="en-GB"/>
        </w:rPr>
        <w:t>：；传真：；邮编：；</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注册地址：</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有效期限：自本单位盖章之日起至年月日截止。</w:t>
      </w:r>
    </w:p>
    <w:p>
      <w:pPr>
        <w:pStyle w:val="96"/>
        <w:spacing w:line="360" w:lineRule="auto"/>
        <w:ind w:firstLine="480"/>
        <w:jc w:val="left"/>
        <w:rPr>
          <w:rFonts w:ascii="宋体" w:hAnsi="宋体" w:cs="宋体"/>
          <w:color w:val="auto"/>
          <w:highlight w:val="none"/>
        </w:rPr>
      </w:pPr>
      <w:r>
        <w:rPr>
          <w:rFonts w:hint="eastAsia" w:ascii="宋体" w:hAnsi="宋体" w:cs="宋体"/>
          <w:color w:val="auto"/>
          <w:highlight w:val="none"/>
        </w:rPr>
        <w:t>特此授权证明。</w:t>
      </w:r>
    </w:p>
    <w:p>
      <w:pPr>
        <w:pStyle w:val="96"/>
        <w:spacing w:line="360" w:lineRule="auto"/>
        <w:ind w:firstLine="480"/>
        <w:rPr>
          <w:rFonts w:ascii="宋体" w:hAnsi="宋体" w:cs="宋体"/>
          <w:color w:val="auto"/>
          <w:highlight w:val="none"/>
          <w:lang w:val="en-GB"/>
        </w:rPr>
      </w:pPr>
    </w:p>
    <w:p>
      <w:pPr>
        <w:pStyle w:val="96"/>
        <w:spacing w:line="360" w:lineRule="auto"/>
        <w:ind w:firstLine="480"/>
        <w:rPr>
          <w:rFonts w:ascii="宋体" w:hAnsi="宋体" w:cs="宋体"/>
          <w:color w:val="auto"/>
          <w:highlight w:val="none"/>
          <w:lang w:val="en-GB"/>
        </w:rPr>
      </w:pPr>
      <w:r>
        <w:rPr>
          <w:rFonts w:hint="eastAsia" w:ascii="宋体" w:hAnsi="宋体" w:cs="宋体"/>
          <w:color w:val="auto"/>
          <w:highlight w:val="none"/>
          <w:lang w:val="en-GB"/>
        </w:rPr>
        <w:t>供应商名称：（单位公章）</w:t>
      </w:r>
    </w:p>
    <w:p>
      <w:pPr>
        <w:pStyle w:val="96"/>
        <w:spacing w:line="360" w:lineRule="auto"/>
        <w:ind w:firstLine="480"/>
        <w:rPr>
          <w:rFonts w:ascii="宋体" w:hAnsi="宋体" w:cs="宋体"/>
          <w:color w:val="auto"/>
          <w:highlight w:val="none"/>
          <w:lang w:val="en-GB"/>
        </w:rPr>
      </w:pPr>
      <w:r>
        <w:rPr>
          <w:rFonts w:hint="eastAsia" w:ascii="宋体" w:hAnsi="宋体" w:cs="宋体"/>
          <w:color w:val="auto"/>
          <w:highlight w:val="none"/>
          <w:lang w:val="en-GB"/>
        </w:rPr>
        <w:t>法定代表人（主要负责人）：（签字或者盖章）</w:t>
      </w:r>
    </w:p>
    <w:p>
      <w:pPr>
        <w:pStyle w:val="96"/>
        <w:spacing w:line="360" w:lineRule="auto"/>
        <w:ind w:firstLine="480"/>
        <w:rPr>
          <w:rFonts w:ascii="宋体" w:hAnsi="宋体" w:cs="宋体"/>
          <w:color w:val="auto"/>
          <w:highlight w:val="none"/>
          <w:lang w:val="en-GB"/>
        </w:rPr>
      </w:pPr>
      <w:r>
        <w:rPr>
          <w:rFonts w:hint="eastAsia" w:ascii="宋体" w:hAnsi="宋体" w:cs="宋体"/>
          <w:color w:val="auto"/>
          <w:highlight w:val="none"/>
          <w:lang w:val="en-GB"/>
        </w:rPr>
        <w:t>日 期 ：    年   月   日。</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注：供应商为自然人的，应当由本人签字；供应商为法人或者其他组织的，应当由法定代表人、主要负责人签字或者盖章。</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3"/>
        <w:spacing w:line="360" w:lineRule="auto"/>
        <w:jc w:val="center"/>
        <w:rPr>
          <w:rFonts w:ascii="宋体" w:hAnsi="宋体" w:cs="宋体"/>
          <w:color w:val="auto"/>
          <w:sz w:val="48"/>
          <w:szCs w:val="48"/>
          <w:highlight w:val="none"/>
        </w:rPr>
      </w:pPr>
      <w:bookmarkStart w:id="99" w:name="_Toc25158"/>
      <w:bookmarkStart w:id="100" w:name="_Toc2145"/>
      <w:r>
        <w:rPr>
          <w:rFonts w:hint="eastAsia" w:ascii="宋体" w:hAnsi="宋体" w:cs="宋体"/>
          <w:color w:val="auto"/>
          <w:sz w:val="48"/>
          <w:szCs w:val="48"/>
          <w:highlight w:val="none"/>
        </w:rPr>
        <w:t>第四部分  合同书范本</w:t>
      </w:r>
      <w:bookmarkEnd w:id="99"/>
      <w:bookmarkEnd w:id="100"/>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ind w:left="843" w:hanging="843" w:hangingChars="350"/>
        <w:rPr>
          <w:rFonts w:ascii="宋体" w:hAnsi="宋体" w:cs="宋体"/>
          <w:b/>
          <w:color w:val="auto"/>
          <w:szCs w:val="24"/>
          <w:highlight w:val="none"/>
          <w:u w:val="double"/>
        </w:rPr>
      </w:pPr>
      <w:r>
        <w:rPr>
          <w:rFonts w:hint="eastAsia" w:ascii="宋体" w:hAnsi="宋体" w:cs="宋体"/>
          <w:b/>
          <w:color w:val="auto"/>
          <w:szCs w:val="24"/>
          <w:highlight w:val="none"/>
          <w:u w:val="double"/>
        </w:rPr>
        <w:t>注：</w:t>
      </w:r>
    </w:p>
    <w:p>
      <w:pPr>
        <w:spacing w:line="360" w:lineRule="auto"/>
        <w:ind w:left="480" w:hanging="480" w:hangingChars="200"/>
        <w:rPr>
          <w:rFonts w:ascii="宋体" w:hAnsi="宋体" w:cs="宋体"/>
          <w:color w:val="auto"/>
          <w:szCs w:val="24"/>
          <w:highlight w:val="none"/>
        </w:rPr>
      </w:pPr>
      <w:r>
        <w:rPr>
          <w:rFonts w:hint="eastAsia" w:ascii="宋体" w:hAnsi="宋体" w:cs="宋体"/>
          <w:color w:val="auto"/>
          <w:szCs w:val="24"/>
          <w:highlight w:val="none"/>
        </w:rPr>
        <w:t>1）本合同格式仅为合同的参考文本，合同签订双方可根据项目的具体要求进行修订。</w:t>
      </w:r>
    </w:p>
    <w:p>
      <w:pPr>
        <w:spacing w:line="360" w:lineRule="auto"/>
        <w:ind w:left="353" w:hanging="352" w:hangingChars="147"/>
        <w:rPr>
          <w:rFonts w:ascii="宋体" w:hAnsi="宋体" w:cs="宋体"/>
          <w:color w:val="auto"/>
          <w:szCs w:val="24"/>
          <w:highlight w:val="none"/>
        </w:rPr>
      </w:pPr>
      <w:r>
        <w:rPr>
          <w:rFonts w:hint="eastAsia" w:ascii="宋体" w:hAnsi="宋体" w:cs="宋体"/>
          <w:color w:val="auto"/>
          <w:szCs w:val="24"/>
          <w:highlight w:val="none"/>
        </w:rPr>
        <w:t>2）合同标的、数量、金额、服务承诺、履约方式等必须与磋商文件和成交供应商的响应文件保持一致。</w:t>
      </w:r>
    </w:p>
    <w:p>
      <w:pPr>
        <w:spacing w:line="360" w:lineRule="auto"/>
        <w:ind w:left="353" w:hanging="352" w:hangingChars="147"/>
        <w:rPr>
          <w:rFonts w:ascii="宋体" w:hAnsi="宋体" w:cs="宋体"/>
          <w:color w:val="auto"/>
          <w:szCs w:val="24"/>
          <w:highlight w:val="none"/>
        </w:rPr>
      </w:pPr>
      <w:r>
        <w:rPr>
          <w:rFonts w:hint="eastAsia" w:ascii="宋体" w:hAnsi="宋体" w:cs="宋体"/>
          <w:color w:val="auto"/>
          <w:szCs w:val="24"/>
          <w:highlight w:val="none"/>
        </w:rPr>
        <w:t>3）在不违反原采购方案要求和各方认可的文件内容前提下，合同当事人可对合同范本中个别非磋商文件规定和响应文件承诺的合同条款共同协商完善补充修订。</w:t>
      </w:r>
    </w:p>
    <w:p>
      <w:pPr>
        <w:spacing w:line="360" w:lineRule="auto"/>
        <w:rPr>
          <w:rFonts w:ascii="宋体" w:hAnsi="宋体" w:cs="宋体"/>
          <w:color w:val="auto"/>
          <w:szCs w:val="24"/>
          <w:highlight w:val="none"/>
        </w:rPr>
      </w:pPr>
    </w:p>
    <w:p>
      <w:pPr>
        <w:tabs>
          <w:tab w:val="left" w:pos="144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br w:type="page"/>
      </w:r>
      <w:bookmarkStart w:id="101" w:name="_Toc18985701"/>
      <w:bookmarkStart w:id="102" w:name="_Toc18985535"/>
      <w:bookmarkStart w:id="103" w:name="_Toc242043928"/>
      <w:bookmarkStart w:id="104" w:name="_Toc20978"/>
      <w:bookmarkStart w:id="105" w:name="_Toc236797303"/>
      <w:bookmarkStart w:id="106" w:name="_Toc139102697"/>
      <w:bookmarkStart w:id="107" w:name="_Toc274691317"/>
      <w:bookmarkStart w:id="108" w:name="_Toc18985581"/>
      <w:bookmarkStart w:id="109" w:name="_Toc253006779"/>
      <w:bookmarkStart w:id="110" w:name="_Toc354672400"/>
      <w:bookmarkStart w:id="111" w:name="_Toc493868026"/>
      <w:bookmarkStart w:id="112" w:name="_Toc272382560"/>
      <w:bookmarkStart w:id="113" w:name="_Toc14679"/>
      <w:bookmarkStart w:id="114" w:name="_Toc235090220"/>
      <w:bookmarkStart w:id="115" w:name="_Toc200184839"/>
      <w:bookmarkStart w:id="116" w:name="_Toc18984943"/>
      <w:bookmarkStart w:id="117" w:name="_Toc280259784"/>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Pr>
        <w:pStyle w:val="125"/>
        <w:tabs>
          <w:tab w:val="left" w:pos="1440"/>
        </w:tabs>
        <w:spacing w:line="480" w:lineRule="auto"/>
        <w:jc w:val="center"/>
        <w:rPr>
          <w:rFonts w:ascii="宋体" w:hAnsi="宋体"/>
          <w:color w:val="auto"/>
          <w:sz w:val="68"/>
          <w:highlight w:val="none"/>
        </w:rPr>
      </w:pPr>
      <w:bookmarkStart w:id="118" w:name="_Toc19026"/>
      <w:bookmarkStart w:id="119" w:name="_Toc26883"/>
      <w:r>
        <w:rPr>
          <w:rFonts w:hint="eastAsia" w:ascii="宋体" w:hAnsi="宋体"/>
          <w:color w:val="auto"/>
          <w:sz w:val="68"/>
          <w:highlight w:val="none"/>
          <w:lang w:eastAsia="zh-CN"/>
        </w:rPr>
        <w:t>佛山市公安局禅城分局</w:t>
      </w:r>
      <w:r>
        <w:rPr>
          <w:rFonts w:hint="eastAsia" w:ascii="宋体" w:hAnsi="宋体"/>
          <w:color w:val="auto"/>
          <w:sz w:val="68"/>
          <w:highlight w:val="none"/>
        </w:rPr>
        <w:t>采购项目</w:t>
      </w:r>
    </w:p>
    <w:p>
      <w:pPr>
        <w:pStyle w:val="125"/>
        <w:tabs>
          <w:tab w:val="left" w:pos="1440"/>
          <w:tab w:val="center" w:pos="4592"/>
          <w:tab w:val="left" w:pos="6748"/>
        </w:tabs>
        <w:spacing w:line="360" w:lineRule="auto"/>
        <w:jc w:val="center"/>
        <w:rPr>
          <w:rFonts w:ascii="宋体" w:hAnsi="宋体"/>
          <w:color w:val="auto"/>
          <w:sz w:val="68"/>
          <w:highlight w:val="none"/>
        </w:rPr>
      </w:pPr>
    </w:p>
    <w:p>
      <w:pPr>
        <w:pStyle w:val="125"/>
        <w:tabs>
          <w:tab w:val="left" w:pos="1440"/>
          <w:tab w:val="center" w:pos="4592"/>
          <w:tab w:val="left" w:pos="6748"/>
        </w:tabs>
        <w:spacing w:line="360" w:lineRule="auto"/>
        <w:jc w:val="center"/>
        <w:rPr>
          <w:rFonts w:ascii="宋体" w:hAnsi="宋体"/>
          <w:color w:val="auto"/>
          <w:sz w:val="68"/>
          <w:highlight w:val="none"/>
        </w:rPr>
      </w:pPr>
      <w:r>
        <w:rPr>
          <w:rFonts w:hint="eastAsia" w:ascii="宋体" w:hAnsi="宋体"/>
          <w:color w:val="auto"/>
          <w:sz w:val="68"/>
          <w:highlight w:val="none"/>
        </w:rPr>
        <w:t>合 同 书</w:t>
      </w:r>
    </w:p>
    <w:p>
      <w:pPr>
        <w:pStyle w:val="125"/>
        <w:spacing w:line="360" w:lineRule="auto"/>
        <w:jc w:val="center"/>
        <w:rPr>
          <w:b/>
          <w:bCs/>
          <w:color w:val="auto"/>
          <w:highlight w:val="none"/>
        </w:rPr>
      </w:pPr>
    </w:p>
    <w:p>
      <w:pPr>
        <w:pStyle w:val="125"/>
        <w:spacing w:line="360" w:lineRule="auto"/>
        <w:jc w:val="center"/>
        <w:rPr>
          <w:b/>
          <w:bCs/>
          <w:color w:val="auto"/>
          <w:highlight w:val="none"/>
        </w:rPr>
      </w:pPr>
    </w:p>
    <w:p>
      <w:pPr>
        <w:pStyle w:val="125"/>
        <w:spacing w:line="360" w:lineRule="auto"/>
        <w:rPr>
          <w:b/>
          <w:bCs/>
          <w:color w:val="auto"/>
          <w:highlight w:val="none"/>
        </w:rPr>
      </w:pPr>
    </w:p>
    <w:p>
      <w:pPr>
        <w:pStyle w:val="125"/>
        <w:spacing w:line="360" w:lineRule="auto"/>
        <w:jc w:val="center"/>
        <w:rPr>
          <w:b/>
          <w:bCs/>
          <w:color w:val="auto"/>
          <w:highlight w:val="none"/>
        </w:rPr>
      </w:pPr>
    </w:p>
    <w:p>
      <w:pPr>
        <w:pStyle w:val="125"/>
        <w:spacing w:line="480" w:lineRule="auto"/>
        <w:ind w:firstLine="2409" w:firstLineChars="1000"/>
        <w:rPr>
          <w:b/>
          <w:bCs/>
          <w:color w:val="auto"/>
          <w:sz w:val="24"/>
          <w:highlight w:val="none"/>
          <w:u w:val="single"/>
        </w:rPr>
      </w:pPr>
      <w:r>
        <w:rPr>
          <w:rFonts w:hint="eastAsia"/>
          <w:b/>
          <w:bCs/>
          <w:color w:val="auto"/>
          <w:sz w:val="24"/>
          <w:highlight w:val="none"/>
        </w:rPr>
        <w:t>项目编号：</w:t>
      </w:r>
    </w:p>
    <w:p>
      <w:pPr>
        <w:pStyle w:val="125"/>
        <w:spacing w:line="480" w:lineRule="auto"/>
        <w:ind w:firstLine="2409" w:firstLineChars="1000"/>
        <w:rPr>
          <w:b/>
          <w:bCs/>
          <w:color w:val="auto"/>
          <w:sz w:val="24"/>
          <w:highlight w:val="none"/>
          <w:u w:val="single"/>
        </w:rPr>
      </w:pPr>
      <w:r>
        <w:rPr>
          <w:rFonts w:hint="eastAsia"/>
          <w:b/>
          <w:bCs/>
          <w:color w:val="auto"/>
          <w:sz w:val="24"/>
          <w:highlight w:val="none"/>
        </w:rPr>
        <w:t>合同编号：</w:t>
      </w:r>
    </w:p>
    <w:p>
      <w:pPr>
        <w:pStyle w:val="125"/>
        <w:spacing w:line="480" w:lineRule="auto"/>
        <w:ind w:firstLine="2409" w:firstLineChars="1000"/>
        <w:rPr>
          <w:color w:val="auto"/>
          <w:sz w:val="24"/>
          <w:highlight w:val="none"/>
        </w:rPr>
      </w:pPr>
      <w:r>
        <w:rPr>
          <w:rFonts w:hint="eastAsia"/>
          <w:b/>
          <w:color w:val="auto"/>
          <w:sz w:val="24"/>
          <w:highlight w:val="none"/>
        </w:rPr>
        <w:t>项目名称：</w:t>
      </w:r>
    </w:p>
    <w:p>
      <w:pPr>
        <w:pStyle w:val="125"/>
        <w:spacing w:line="480" w:lineRule="auto"/>
        <w:jc w:val="center"/>
        <w:rPr>
          <w:color w:val="auto"/>
          <w:highlight w:val="none"/>
        </w:rPr>
      </w:pPr>
    </w:p>
    <w:p>
      <w:pPr>
        <w:pStyle w:val="125"/>
        <w:spacing w:line="360" w:lineRule="auto"/>
        <w:jc w:val="center"/>
        <w:rPr>
          <w:color w:val="auto"/>
          <w:highlight w:val="none"/>
        </w:rPr>
      </w:pPr>
    </w:p>
    <w:p>
      <w:pPr>
        <w:pStyle w:val="125"/>
        <w:spacing w:line="360" w:lineRule="auto"/>
        <w:jc w:val="center"/>
        <w:rPr>
          <w:color w:val="auto"/>
          <w:highlight w:val="none"/>
        </w:rPr>
      </w:pPr>
    </w:p>
    <w:tbl>
      <w:tblPr>
        <w:tblStyle w:val="31"/>
        <w:tblW w:w="5888" w:type="dxa"/>
        <w:jc w:val="center"/>
        <w:tblLayout w:type="fixed"/>
        <w:tblCellMar>
          <w:top w:w="0" w:type="dxa"/>
          <w:left w:w="108" w:type="dxa"/>
          <w:bottom w:w="0" w:type="dxa"/>
          <w:right w:w="108" w:type="dxa"/>
        </w:tblCellMar>
      </w:tblPr>
      <w:tblGrid>
        <w:gridCol w:w="1619"/>
        <w:gridCol w:w="4269"/>
      </w:tblGrid>
      <w:tr>
        <w:tblPrEx>
          <w:tblCellMar>
            <w:top w:w="0" w:type="dxa"/>
            <w:left w:w="108" w:type="dxa"/>
            <w:bottom w:w="0" w:type="dxa"/>
            <w:right w:w="108" w:type="dxa"/>
          </w:tblCellMar>
        </w:tblPrEx>
        <w:trPr>
          <w:trHeight w:val="593" w:hRule="atLeast"/>
          <w:jc w:val="center"/>
        </w:trPr>
        <w:tc>
          <w:tcPr>
            <w:tcW w:w="1619" w:type="dxa"/>
            <w:noWrap w:val="0"/>
            <w:vAlign w:val="center"/>
          </w:tcPr>
          <w:p>
            <w:pPr>
              <w:pStyle w:val="125"/>
              <w:jc w:val="center"/>
              <w:rPr>
                <w:rFonts w:ascii="黑体" w:eastAsia="黑体"/>
                <w:color w:val="auto"/>
                <w:sz w:val="28"/>
                <w:szCs w:val="28"/>
                <w:highlight w:val="none"/>
              </w:rPr>
            </w:pPr>
            <w:r>
              <w:rPr>
                <w:rFonts w:hint="eastAsia" w:ascii="黑体" w:eastAsia="黑体"/>
                <w:color w:val="auto"/>
                <w:sz w:val="28"/>
                <w:szCs w:val="28"/>
                <w:highlight w:val="none"/>
              </w:rPr>
              <w:t>甲    方：</w:t>
            </w:r>
          </w:p>
        </w:tc>
        <w:tc>
          <w:tcPr>
            <w:tcW w:w="4269" w:type="dxa"/>
            <w:noWrap w:val="0"/>
            <w:vAlign w:val="center"/>
          </w:tcPr>
          <w:p>
            <w:pPr>
              <w:pStyle w:val="125"/>
              <w:jc w:val="left"/>
              <w:rPr>
                <w:rFonts w:ascii="黑体" w:eastAsia="黑体"/>
                <w:color w:val="auto"/>
                <w:sz w:val="28"/>
                <w:szCs w:val="28"/>
                <w:highlight w:val="none"/>
                <w:u w:val="single"/>
              </w:rPr>
            </w:pPr>
            <w:bookmarkStart w:id="120" w:name="EBab8624952e174488a7c0cf9d68a9a018"/>
            <w:bookmarkEnd w:id="120"/>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u w:val="single"/>
                <w:lang w:val="en-US" w:eastAsia="zh-CN"/>
              </w:rPr>
              <w:t xml:space="preserve">佛山市公安局禅城分局 </w:t>
            </w:r>
            <w:r>
              <w:rPr>
                <w:rFonts w:hint="eastAsia" w:ascii="黑体" w:eastAsia="黑体"/>
                <w:color w:val="auto"/>
                <w:sz w:val="28"/>
                <w:szCs w:val="28"/>
                <w:highlight w:val="none"/>
                <w:u w:val="single"/>
              </w:rPr>
              <w:t xml:space="preserve">   </w:t>
            </w:r>
          </w:p>
        </w:tc>
      </w:tr>
      <w:tr>
        <w:tblPrEx>
          <w:tblCellMar>
            <w:top w:w="0" w:type="dxa"/>
            <w:left w:w="108" w:type="dxa"/>
            <w:bottom w:w="0" w:type="dxa"/>
            <w:right w:w="108" w:type="dxa"/>
          </w:tblCellMar>
        </w:tblPrEx>
        <w:trPr>
          <w:trHeight w:val="593" w:hRule="atLeast"/>
          <w:jc w:val="center"/>
        </w:trPr>
        <w:tc>
          <w:tcPr>
            <w:tcW w:w="1619" w:type="dxa"/>
            <w:noWrap w:val="0"/>
            <w:vAlign w:val="center"/>
          </w:tcPr>
          <w:p>
            <w:pPr>
              <w:pStyle w:val="125"/>
              <w:jc w:val="center"/>
              <w:rPr>
                <w:rFonts w:ascii="黑体" w:eastAsia="黑体"/>
                <w:color w:val="auto"/>
                <w:sz w:val="28"/>
                <w:szCs w:val="28"/>
                <w:highlight w:val="none"/>
              </w:rPr>
            </w:pPr>
            <w:r>
              <w:rPr>
                <w:rFonts w:hint="eastAsia" w:ascii="黑体" w:hAnsi="宋体" w:eastAsia="黑体"/>
                <w:color w:val="auto"/>
                <w:sz w:val="28"/>
                <w:szCs w:val="28"/>
                <w:highlight w:val="none"/>
              </w:rPr>
              <w:t>乙    方：</w:t>
            </w:r>
          </w:p>
        </w:tc>
        <w:tc>
          <w:tcPr>
            <w:tcW w:w="4269" w:type="dxa"/>
            <w:noWrap w:val="0"/>
            <w:vAlign w:val="center"/>
          </w:tcPr>
          <w:p>
            <w:pPr>
              <w:pStyle w:val="125"/>
              <w:jc w:val="left"/>
              <w:rPr>
                <w:rFonts w:ascii="黑体" w:eastAsia="黑体"/>
                <w:color w:val="auto"/>
                <w:sz w:val="28"/>
                <w:szCs w:val="28"/>
                <w:highlight w:val="none"/>
                <w:u w:val="single"/>
              </w:rPr>
            </w:pPr>
            <w:r>
              <w:rPr>
                <w:rFonts w:hint="eastAsia" w:ascii="黑体" w:eastAsia="黑体"/>
                <w:color w:val="auto"/>
                <w:sz w:val="28"/>
                <w:szCs w:val="28"/>
                <w:highlight w:val="none"/>
                <w:u w:val="single"/>
              </w:rPr>
              <w:t xml:space="preserve">  （中标/成交供应商名称）      </w:t>
            </w:r>
          </w:p>
        </w:tc>
      </w:tr>
      <w:tr>
        <w:tblPrEx>
          <w:tblCellMar>
            <w:top w:w="0" w:type="dxa"/>
            <w:left w:w="108" w:type="dxa"/>
            <w:bottom w:w="0" w:type="dxa"/>
            <w:right w:w="108" w:type="dxa"/>
          </w:tblCellMar>
        </w:tblPrEx>
        <w:trPr>
          <w:trHeight w:val="593" w:hRule="atLeast"/>
          <w:jc w:val="center"/>
        </w:trPr>
        <w:tc>
          <w:tcPr>
            <w:tcW w:w="1619" w:type="dxa"/>
            <w:noWrap w:val="0"/>
            <w:vAlign w:val="center"/>
          </w:tcPr>
          <w:p>
            <w:pPr>
              <w:pStyle w:val="125"/>
              <w:jc w:val="center"/>
              <w:rPr>
                <w:rFonts w:ascii="黑体" w:eastAsia="黑体"/>
                <w:color w:val="auto"/>
                <w:sz w:val="28"/>
                <w:szCs w:val="28"/>
                <w:highlight w:val="none"/>
              </w:rPr>
            </w:pPr>
            <w:r>
              <w:rPr>
                <w:rFonts w:hint="eastAsia" w:ascii="黑体" w:hAnsi="宋体" w:eastAsia="黑体"/>
                <w:color w:val="auto"/>
                <w:sz w:val="28"/>
                <w:szCs w:val="28"/>
                <w:highlight w:val="none"/>
              </w:rPr>
              <w:t>签订日期：</w:t>
            </w:r>
          </w:p>
        </w:tc>
        <w:tc>
          <w:tcPr>
            <w:tcW w:w="4269" w:type="dxa"/>
            <w:noWrap w:val="0"/>
            <w:vAlign w:val="center"/>
          </w:tcPr>
          <w:p>
            <w:pPr>
              <w:pStyle w:val="125"/>
              <w:jc w:val="left"/>
              <w:rPr>
                <w:rFonts w:ascii="黑体" w:eastAsia="黑体"/>
                <w:color w:val="auto"/>
                <w:sz w:val="28"/>
                <w:szCs w:val="28"/>
                <w:highlight w:val="none"/>
                <w:u w:val="single"/>
              </w:rPr>
            </w:pPr>
            <w:r>
              <w:rPr>
                <w:rFonts w:hint="eastAsia" w:ascii="黑体" w:hAnsi="宋体" w:eastAsia="黑体"/>
                <w:color w:val="auto"/>
                <w:sz w:val="28"/>
                <w:szCs w:val="28"/>
                <w:highlight w:val="none"/>
                <w:u w:val="single"/>
              </w:rPr>
              <w:t>年 月</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日        </w:t>
            </w:r>
          </w:p>
        </w:tc>
      </w:tr>
    </w:tbl>
    <w:p>
      <w:pPr>
        <w:pStyle w:val="125"/>
        <w:spacing w:line="360" w:lineRule="auto"/>
        <w:jc w:val="center"/>
        <w:rPr>
          <w:color w:val="auto"/>
          <w:highlight w:val="none"/>
        </w:rPr>
      </w:pPr>
    </w:p>
    <w:p>
      <w:pPr>
        <w:pStyle w:val="125"/>
        <w:spacing w:line="360" w:lineRule="auto"/>
        <w:jc w:val="center"/>
        <w:rPr>
          <w:color w:val="auto"/>
          <w:highlight w:val="none"/>
        </w:rPr>
      </w:pPr>
    </w:p>
    <w:p>
      <w:pPr>
        <w:pStyle w:val="125"/>
        <w:spacing w:line="360" w:lineRule="auto"/>
        <w:jc w:val="center"/>
        <w:rPr>
          <w:color w:val="auto"/>
          <w:highlight w:val="none"/>
        </w:rPr>
      </w:pPr>
    </w:p>
    <w:p>
      <w:pPr>
        <w:pStyle w:val="125"/>
        <w:pageBreakBefore/>
        <w:spacing w:line="360" w:lineRule="auto"/>
        <w:jc w:val="center"/>
        <w:rPr>
          <w:b/>
          <w:color w:val="auto"/>
          <w:kern w:val="0"/>
          <w:sz w:val="44"/>
          <w:szCs w:val="44"/>
          <w:highlight w:val="none"/>
        </w:rPr>
      </w:pPr>
      <w:r>
        <w:rPr>
          <w:rFonts w:hint="eastAsia"/>
          <w:b/>
          <w:color w:val="auto"/>
          <w:kern w:val="0"/>
          <w:sz w:val="44"/>
          <w:szCs w:val="44"/>
          <w:highlight w:val="none"/>
          <w:lang w:eastAsia="zh-CN"/>
        </w:rPr>
        <w:t>佛山市公安局禅城分局</w:t>
      </w:r>
      <w:r>
        <w:rPr>
          <w:rFonts w:hint="eastAsia"/>
          <w:b/>
          <w:color w:val="auto"/>
          <w:kern w:val="0"/>
          <w:sz w:val="44"/>
          <w:szCs w:val="44"/>
          <w:highlight w:val="none"/>
        </w:rPr>
        <w:t>项目合同书</w:t>
      </w:r>
    </w:p>
    <w:p>
      <w:pPr>
        <w:pStyle w:val="125"/>
        <w:rPr>
          <w:color w:val="auto"/>
          <w:szCs w:val="22"/>
          <w:highlight w:val="none"/>
        </w:rPr>
      </w:pPr>
    </w:p>
    <w:tbl>
      <w:tblPr>
        <w:tblStyle w:val="31"/>
        <w:tblW w:w="8277" w:type="dxa"/>
        <w:jc w:val="center"/>
        <w:tblLayout w:type="fixed"/>
        <w:tblCellMar>
          <w:top w:w="0" w:type="dxa"/>
          <w:left w:w="108" w:type="dxa"/>
          <w:bottom w:w="0" w:type="dxa"/>
          <w:right w:w="108" w:type="dxa"/>
        </w:tblCellMar>
      </w:tblPr>
      <w:tblGrid>
        <w:gridCol w:w="1668"/>
        <w:gridCol w:w="6609"/>
      </w:tblGrid>
      <w:tr>
        <w:tblPrEx>
          <w:tblCellMar>
            <w:top w:w="0" w:type="dxa"/>
            <w:left w:w="108" w:type="dxa"/>
            <w:bottom w:w="0" w:type="dxa"/>
            <w:right w:w="108" w:type="dxa"/>
          </w:tblCellMar>
        </w:tblPrEx>
        <w:trPr>
          <w:trHeight w:val="567" w:hRule="atLeast"/>
          <w:jc w:val="center"/>
        </w:trPr>
        <w:tc>
          <w:tcPr>
            <w:tcW w:w="1668" w:type="dxa"/>
            <w:noWrap w:val="0"/>
            <w:vAlign w:val="center"/>
          </w:tcPr>
          <w:p>
            <w:pPr>
              <w:pStyle w:val="125"/>
              <w:rPr>
                <w:b/>
                <w:color w:val="auto"/>
                <w:szCs w:val="22"/>
                <w:highlight w:val="none"/>
              </w:rPr>
            </w:pPr>
            <w:r>
              <w:rPr>
                <w:rFonts w:hint="eastAsia"/>
                <w:b/>
                <w:color w:val="auto"/>
                <w:sz w:val="24"/>
                <w:highlight w:val="none"/>
              </w:rPr>
              <w:t>项目名称</w:t>
            </w:r>
            <w:r>
              <w:rPr>
                <w:rFonts w:hint="eastAsia"/>
                <w:b/>
                <w:color w:val="auto"/>
                <w:highlight w:val="none"/>
              </w:rPr>
              <w:t>：</w:t>
            </w:r>
          </w:p>
        </w:tc>
        <w:tc>
          <w:tcPr>
            <w:tcW w:w="6609" w:type="dxa"/>
            <w:noWrap w:val="0"/>
            <w:vAlign w:val="center"/>
          </w:tcPr>
          <w:p>
            <w:pPr>
              <w:pStyle w:val="125"/>
              <w:jc w:val="left"/>
              <w:rPr>
                <w:color w:val="auto"/>
                <w:sz w:val="24"/>
                <w:highlight w:val="none"/>
                <w:u w:val="single"/>
              </w:rPr>
            </w:pPr>
          </w:p>
        </w:tc>
      </w:tr>
      <w:tr>
        <w:tblPrEx>
          <w:tblCellMar>
            <w:top w:w="0" w:type="dxa"/>
            <w:left w:w="108" w:type="dxa"/>
            <w:bottom w:w="0" w:type="dxa"/>
            <w:right w:w="108" w:type="dxa"/>
          </w:tblCellMar>
        </w:tblPrEx>
        <w:trPr>
          <w:trHeight w:val="413" w:hRule="atLeast"/>
          <w:jc w:val="center"/>
        </w:trPr>
        <w:tc>
          <w:tcPr>
            <w:tcW w:w="1668" w:type="dxa"/>
            <w:noWrap w:val="0"/>
            <w:vAlign w:val="center"/>
          </w:tcPr>
          <w:p>
            <w:pPr>
              <w:pStyle w:val="125"/>
              <w:rPr>
                <w:b/>
                <w:color w:val="auto"/>
                <w:sz w:val="24"/>
                <w:highlight w:val="none"/>
              </w:rPr>
            </w:pPr>
            <w:r>
              <w:rPr>
                <w:rFonts w:hint="eastAsia"/>
                <w:b/>
                <w:color w:val="auto"/>
                <w:sz w:val="24"/>
                <w:highlight w:val="none"/>
              </w:rPr>
              <w:t>项目编号：</w:t>
            </w:r>
          </w:p>
        </w:tc>
        <w:tc>
          <w:tcPr>
            <w:tcW w:w="6609" w:type="dxa"/>
            <w:noWrap w:val="0"/>
            <w:vAlign w:val="center"/>
          </w:tcPr>
          <w:p>
            <w:pPr>
              <w:pStyle w:val="125"/>
              <w:rPr>
                <w:color w:val="auto"/>
                <w:sz w:val="24"/>
                <w:highlight w:val="none"/>
                <w:u w:val="single"/>
              </w:rPr>
            </w:pPr>
          </w:p>
        </w:tc>
      </w:tr>
      <w:tr>
        <w:tblPrEx>
          <w:tblCellMar>
            <w:top w:w="0" w:type="dxa"/>
            <w:left w:w="108" w:type="dxa"/>
            <w:bottom w:w="0" w:type="dxa"/>
            <w:right w:w="108" w:type="dxa"/>
          </w:tblCellMar>
        </w:tblPrEx>
        <w:trPr>
          <w:trHeight w:val="413" w:hRule="atLeast"/>
          <w:jc w:val="center"/>
        </w:trPr>
        <w:tc>
          <w:tcPr>
            <w:tcW w:w="1668" w:type="dxa"/>
            <w:noWrap w:val="0"/>
            <w:vAlign w:val="center"/>
          </w:tcPr>
          <w:p>
            <w:pPr>
              <w:pStyle w:val="125"/>
              <w:rPr>
                <w:b/>
                <w:color w:val="auto"/>
                <w:sz w:val="24"/>
                <w:highlight w:val="none"/>
              </w:rPr>
            </w:pPr>
            <w:r>
              <w:rPr>
                <w:rFonts w:hint="eastAsia"/>
                <w:b/>
                <w:color w:val="auto"/>
                <w:sz w:val="24"/>
                <w:highlight w:val="none"/>
              </w:rPr>
              <w:t>甲    方：</w:t>
            </w:r>
          </w:p>
        </w:tc>
        <w:tc>
          <w:tcPr>
            <w:tcW w:w="6609" w:type="dxa"/>
            <w:noWrap w:val="0"/>
            <w:vAlign w:val="center"/>
          </w:tcPr>
          <w:p>
            <w:pPr>
              <w:pStyle w:val="125"/>
              <w:rPr>
                <w:color w:val="auto"/>
                <w:sz w:val="24"/>
                <w:highlight w:val="none"/>
                <w:u w:val="single"/>
              </w:rPr>
            </w:pPr>
            <w:r>
              <w:rPr>
                <w:rFonts w:hint="eastAsia" w:ascii="宋体" w:hAnsi="宋体"/>
                <w:color w:val="auto"/>
                <w:sz w:val="24"/>
                <w:highlight w:val="none"/>
                <w:u w:val="single"/>
              </w:rPr>
              <w:t>（采购人名称）</w:t>
            </w:r>
          </w:p>
        </w:tc>
      </w:tr>
      <w:tr>
        <w:tblPrEx>
          <w:tblCellMar>
            <w:top w:w="0" w:type="dxa"/>
            <w:left w:w="108" w:type="dxa"/>
            <w:bottom w:w="0" w:type="dxa"/>
            <w:right w:w="108" w:type="dxa"/>
          </w:tblCellMar>
        </w:tblPrEx>
        <w:trPr>
          <w:trHeight w:val="413" w:hRule="atLeast"/>
          <w:jc w:val="center"/>
        </w:trPr>
        <w:tc>
          <w:tcPr>
            <w:tcW w:w="1668" w:type="dxa"/>
            <w:noWrap w:val="0"/>
            <w:vAlign w:val="center"/>
          </w:tcPr>
          <w:p>
            <w:pPr>
              <w:pStyle w:val="125"/>
              <w:rPr>
                <w:b/>
                <w:color w:val="auto"/>
                <w:sz w:val="24"/>
                <w:highlight w:val="none"/>
              </w:rPr>
            </w:pPr>
            <w:r>
              <w:rPr>
                <w:rFonts w:hint="eastAsia" w:ascii="宋体" w:hAnsi="宋体"/>
                <w:b/>
                <w:color w:val="auto"/>
                <w:sz w:val="24"/>
                <w:highlight w:val="none"/>
              </w:rPr>
              <w:t>乙    方：</w:t>
            </w:r>
          </w:p>
        </w:tc>
        <w:tc>
          <w:tcPr>
            <w:tcW w:w="6609" w:type="dxa"/>
            <w:noWrap w:val="0"/>
            <w:vAlign w:val="center"/>
          </w:tcPr>
          <w:p>
            <w:pPr>
              <w:pStyle w:val="125"/>
              <w:rPr>
                <w:color w:val="auto"/>
                <w:sz w:val="24"/>
                <w:highlight w:val="none"/>
                <w:u w:val="single"/>
              </w:rPr>
            </w:pPr>
            <w:r>
              <w:rPr>
                <w:rFonts w:hint="eastAsia" w:ascii="宋体" w:hAnsi="宋体"/>
                <w:color w:val="auto"/>
                <w:sz w:val="24"/>
                <w:highlight w:val="none"/>
                <w:u w:val="single"/>
              </w:rPr>
              <w:t xml:space="preserve">（中标/成交供应商）                                 </w:t>
            </w:r>
          </w:p>
        </w:tc>
      </w:tr>
    </w:tbl>
    <w:p>
      <w:pPr>
        <w:pStyle w:val="126"/>
        <w:spacing w:line="360" w:lineRule="auto"/>
        <w:ind w:firstLine="420"/>
        <w:rPr>
          <w:color w:val="auto"/>
          <w:szCs w:val="21"/>
          <w:highlight w:val="none"/>
        </w:rPr>
      </w:pPr>
    </w:p>
    <w:p>
      <w:pPr>
        <w:pStyle w:val="126"/>
        <w:spacing w:line="360" w:lineRule="auto"/>
        <w:ind w:firstLine="420"/>
        <w:rPr>
          <w:rFonts w:ascii="宋体" w:hAnsi="宋体" w:eastAsia="宋体"/>
          <w:color w:val="auto"/>
          <w:sz w:val="24"/>
          <w:szCs w:val="24"/>
          <w:highlight w:val="none"/>
        </w:rPr>
      </w:pPr>
      <w:r>
        <w:rPr>
          <w:rFonts w:hint="eastAsia" w:ascii="宋体" w:hAnsi="宋体" w:eastAsia="宋体"/>
          <w:color w:val="auto"/>
          <w:sz w:val="24"/>
          <w:szCs w:val="24"/>
          <w:highlight w:val="none"/>
        </w:rPr>
        <w:t>根据《中华人民共和国政府采购法》《中华人民共和国民法典》和本项目采购文件的要求，</w:t>
      </w:r>
      <w:r>
        <w:rPr>
          <w:rFonts w:hint="eastAsia" w:ascii="宋体" w:hAnsi="宋体" w:eastAsia="宋体"/>
          <w:color w:val="auto"/>
          <w:kern w:val="28"/>
          <w:sz w:val="24"/>
          <w:szCs w:val="24"/>
          <w:highlight w:val="none"/>
        </w:rPr>
        <w:t>经双方协商，</w:t>
      </w:r>
      <w:r>
        <w:rPr>
          <w:rFonts w:hint="eastAsia" w:ascii="宋体" w:hAnsi="宋体" w:eastAsia="宋体"/>
          <w:color w:val="auto"/>
          <w:sz w:val="24"/>
          <w:szCs w:val="24"/>
          <w:highlight w:val="none"/>
        </w:rPr>
        <w:t>本着平等互利和诚实信用的原则，</w:t>
      </w:r>
      <w:r>
        <w:rPr>
          <w:rFonts w:hint="eastAsia" w:ascii="宋体" w:hAnsi="宋体" w:eastAsia="宋体"/>
          <w:color w:val="auto"/>
          <w:kern w:val="28"/>
          <w:sz w:val="24"/>
          <w:szCs w:val="24"/>
          <w:highlight w:val="none"/>
        </w:rPr>
        <w:t>一致同意签订本合同如下。</w:t>
      </w:r>
    </w:p>
    <w:p>
      <w:pPr>
        <w:pStyle w:val="126"/>
        <w:numPr>
          <w:ilvl w:val="0"/>
          <w:numId w:val="0"/>
        </w:numPr>
        <w:spacing w:line="360" w:lineRule="auto"/>
        <w:ind w:leftChars="0"/>
        <w:rPr>
          <w:rFonts w:ascii="宋体" w:hAnsi="宋体" w:eastAsia="宋体"/>
          <w:b/>
          <w:bCs/>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eastAsia="宋体"/>
          <w:b/>
          <w:bCs/>
          <w:color w:val="auto"/>
          <w:sz w:val="24"/>
          <w:szCs w:val="24"/>
          <w:highlight w:val="none"/>
        </w:rPr>
        <w:t>项目主要内容及实现功能目标：</w:t>
      </w:r>
      <w:r>
        <w:rPr>
          <w:rFonts w:hint="eastAsia" w:ascii="宋体" w:hAnsi="宋体" w:eastAsia="宋体"/>
          <w:color w:val="auto"/>
          <w:sz w:val="24"/>
          <w:szCs w:val="24"/>
          <w:highlight w:val="none"/>
        </w:rPr>
        <w:t>（按照采购文件和投标</w:t>
      </w:r>
      <w:r>
        <w:rPr>
          <w:rFonts w:ascii="宋体" w:hAnsi="宋体" w:eastAsia="宋体"/>
          <w:color w:val="auto"/>
          <w:sz w:val="24"/>
          <w:szCs w:val="24"/>
          <w:highlight w:val="none"/>
        </w:rPr>
        <w:t>/</w:t>
      </w:r>
      <w:r>
        <w:rPr>
          <w:rFonts w:hint="eastAsia" w:ascii="宋体" w:hAnsi="宋体" w:eastAsia="宋体"/>
          <w:color w:val="auto"/>
          <w:sz w:val="24"/>
          <w:szCs w:val="24"/>
          <w:highlight w:val="none"/>
        </w:rPr>
        <w:t>响应文件执行）</w:t>
      </w:r>
    </w:p>
    <w:p>
      <w:pPr>
        <w:pStyle w:val="126"/>
        <w:numPr>
          <w:ilvl w:val="0"/>
          <w:numId w:val="0"/>
        </w:numPr>
        <w:spacing w:line="360" w:lineRule="auto"/>
        <w:ind w:leftChars="0"/>
        <w:rPr>
          <w:rFonts w:ascii="宋体" w:hAnsi="宋体" w:eastAsia="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eastAsia="宋体"/>
          <w:b/>
          <w:bCs/>
          <w:color w:val="auto"/>
          <w:sz w:val="24"/>
          <w:szCs w:val="24"/>
          <w:highlight w:val="none"/>
        </w:rPr>
        <w:t>产品及服务供应清单：</w:t>
      </w:r>
      <w:r>
        <w:rPr>
          <w:rFonts w:hint="eastAsia" w:ascii="宋体" w:hAnsi="宋体" w:eastAsia="宋体"/>
          <w:bCs/>
          <w:color w:val="auto"/>
          <w:sz w:val="24"/>
          <w:szCs w:val="24"/>
          <w:highlight w:val="none"/>
        </w:rPr>
        <w:t>见附件一</w:t>
      </w:r>
      <w:r>
        <w:rPr>
          <w:rFonts w:hint="eastAsia" w:ascii="宋体" w:hAnsi="宋体" w:eastAsia="宋体"/>
          <w:color w:val="auto"/>
          <w:sz w:val="24"/>
          <w:szCs w:val="24"/>
          <w:highlight w:val="none"/>
        </w:rPr>
        <w:t>《报价清单明细表》。</w:t>
      </w:r>
    </w:p>
    <w:p>
      <w:pPr>
        <w:pStyle w:val="126"/>
        <w:numPr>
          <w:ilvl w:val="0"/>
          <w:numId w:val="0"/>
        </w:numPr>
        <w:spacing w:line="360" w:lineRule="auto"/>
        <w:ind w:leftChars="0"/>
        <w:rPr>
          <w:rFonts w:ascii="Times New Roman" w:hAnsi="Times New Roman"/>
          <w:b/>
          <w:bCs/>
          <w:color w:val="auto"/>
          <w:highlight w:val="none"/>
        </w:rPr>
      </w:pPr>
      <w:r>
        <w:rPr>
          <w:rFonts w:hint="eastAsia" w:ascii="宋体" w:hAnsi="宋体"/>
          <w:b/>
          <w:bCs/>
          <w:color w:val="auto"/>
          <w:sz w:val="24"/>
          <w:szCs w:val="24"/>
          <w:highlight w:val="none"/>
          <w:lang w:val="en-US" w:eastAsia="zh-CN"/>
        </w:rPr>
        <w:t>三、</w:t>
      </w:r>
      <w:r>
        <w:rPr>
          <w:rFonts w:hint="eastAsia" w:ascii="宋体" w:hAnsi="宋体" w:eastAsia="宋体"/>
          <w:b/>
          <w:bCs/>
          <w:color w:val="auto"/>
          <w:sz w:val="24"/>
          <w:szCs w:val="24"/>
          <w:highlight w:val="none"/>
        </w:rPr>
        <w:t>基本合同条款一览表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center"/>
              <w:rPr>
                <w:b/>
                <w:color w:val="auto"/>
                <w:sz w:val="21"/>
                <w:szCs w:val="21"/>
                <w:highlight w:val="none"/>
              </w:rPr>
            </w:pPr>
            <w:r>
              <w:rPr>
                <w:b/>
                <w:color w:val="auto"/>
                <w:sz w:val="21"/>
                <w:szCs w:val="21"/>
                <w:highlight w:val="none"/>
              </w:rPr>
              <w:t>序号</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center"/>
              <w:rPr>
                <w:b/>
                <w:color w:val="auto"/>
                <w:sz w:val="21"/>
                <w:szCs w:val="21"/>
                <w:highlight w:val="none"/>
              </w:rPr>
            </w:pPr>
            <w:r>
              <w:rPr>
                <w:b/>
                <w:color w:val="auto"/>
                <w:sz w:val="21"/>
                <w:szCs w:val="21"/>
                <w:highlight w:val="none"/>
              </w:rPr>
              <w:t>合同条款</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center"/>
              <w:rPr>
                <w:b/>
                <w:color w:val="auto"/>
                <w:sz w:val="21"/>
                <w:szCs w:val="21"/>
                <w:highlight w:val="none"/>
              </w:rPr>
            </w:pPr>
            <w:r>
              <w:rPr>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center"/>
              <w:rPr>
                <w:b/>
                <w:color w:val="auto"/>
                <w:sz w:val="21"/>
                <w:szCs w:val="21"/>
                <w:highlight w:val="none"/>
              </w:rPr>
            </w:pPr>
            <w:r>
              <w:rPr>
                <w:b/>
                <w:bCs/>
                <w:color w:val="auto"/>
                <w:sz w:val="21"/>
                <w:szCs w:val="21"/>
                <w:highlight w:val="none"/>
              </w:rPr>
              <w:t>合同</w:t>
            </w:r>
            <w:r>
              <w:rPr>
                <w:rFonts w:hint="eastAsia"/>
                <w:b/>
                <w:bCs/>
                <w:color w:val="auto"/>
                <w:sz w:val="21"/>
                <w:szCs w:val="21"/>
                <w:highlight w:val="none"/>
                <w:lang w:val="en-US" w:eastAsia="zh-CN"/>
              </w:rPr>
              <w:t>预计</w:t>
            </w:r>
            <w:r>
              <w:rPr>
                <w:b/>
                <w:bCs/>
                <w:color w:val="auto"/>
                <w:sz w:val="21"/>
                <w:szCs w:val="21"/>
                <w:highlight w:val="none"/>
              </w:rPr>
              <w:t>总额</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小写：</w:t>
            </w:r>
            <w:r>
              <w:rPr>
                <w:rFonts w:hint="eastAsia" w:eastAsia="宋体"/>
                <w:b/>
                <w:color w:val="auto"/>
                <w:sz w:val="21"/>
                <w:szCs w:val="21"/>
                <w:highlight w:val="none"/>
                <w:lang w:val="en-US" w:eastAsia="zh-CN"/>
              </w:rPr>
              <w:t>702,430.00</w:t>
            </w:r>
            <w:r>
              <w:rPr>
                <w:rFonts w:hint="eastAsia"/>
                <w:b/>
                <w:color w:val="auto"/>
                <w:sz w:val="21"/>
                <w:szCs w:val="21"/>
                <w:highlight w:val="none"/>
                <w:lang w:val="en-US" w:eastAsia="zh-CN"/>
              </w:rPr>
              <w:t>元</w:t>
            </w:r>
          </w:p>
          <w:p>
            <w:pPr>
              <w:pStyle w:val="140"/>
              <w:spacing w:line="360" w:lineRule="auto"/>
              <w:rPr>
                <w:rFonts w:hint="default"/>
                <w:b/>
                <w:color w:val="auto"/>
                <w:sz w:val="21"/>
                <w:szCs w:val="21"/>
                <w:highlight w:val="none"/>
                <w:lang w:val="en-US" w:eastAsia="zh-CN"/>
              </w:rPr>
            </w:pPr>
            <w:r>
              <w:rPr>
                <w:rFonts w:hint="eastAsia"/>
                <w:b/>
                <w:color w:val="auto"/>
                <w:sz w:val="21"/>
                <w:szCs w:val="21"/>
                <w:highlight w:val="none"/>
                <w:lang w:val="en-US" w:eastAsia="zh-CN"/>
              </w:rPr>
              <w:t>大写：柒拾万零贰仟肆佰叁拾元整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center"/>
              <w:rPr>
                <w:b/>
                <w:color w:val="auto"/>
                <w:highlight w:val="none"/>
              </w:rPr>
            </w:pPr>
            <w:r>
              <w:rPr>
                <w:b/>
                <w:color w:val="auto"/>
                <w:highlight w:val="none"/>
              </w:rPr>
              <w:t>合同总额内容</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36"/>
              <w:numPr>
                <w:ilvl w:val="0"/>
                <w:numId w:val="53"/>
              </w:numPr>
              <w:spacing w:line="360" w:lineRule="auto"/>
              <w:rPr>
                <w:rFonts w:hint="eastAsia"/>
                <w:color w:val="auto"/>
                <w:highlight w:val="none"/>
              </w:rPr>
            </w:pPr>
            <w:r>
              <w:rPr>
                <w:rFonts w:hint="eastAsia"/>
                <w:color w:val="auto"/>
                <w:highlight w:val="none"/>
              </w:rPr>
              <w:t>合同总额包含但不限于</w:t>
            </w:r>
            <w:r>
              <w:rPr>
                <w:color w:val="auto"/>
                <w:highlight w:val="none"/>
              </w:rPr>
              <w:t>服务</w:t>
            </w:r>
            <w:r>
              <w:rPr>
                <w:rFonts w:hint="eastAsia"/>
                <w:color w:val="auto"/>
                <w:highlight w:val="none"/>
                <w:lang w:val="en-US" w:eastAsia="zh-CN"/>
              </w:rPr>
              <w:t>费</w:t>
            </w:r>
            <w:r>
              <w:rPr>
                <w:color w:val="auto"/>
                <w:highlight w:val="none"/>
              </w:rPr>
              <w:t>、餐费、管理运营费用</w:t>
            </w:r>
            <w:r>
              <w:rPr>
                <w:rFonts w:hint="eastAsia"/>
                <w:color w:val="auto"/>
                <w:highlight w:val="none"/>
                <w:lang w:eastAsia="zh-CN"/>
              </w:rPr>
              <w:t>、</w:t>
            </w:r>
            <w:r>
              <w:rPr>
                <w:color w:val="auto"/>
                <w:highlight w:val="none"/>
              </w:rPr>
              <w:t>验收费、</w:t>
            </w:r>
            <w:r>
              <w:rPr>
                <w:rFonts w:hint="eastAsia"/>
                <w:color w:val="auto"/>
                <w:highlight w:val="none"/>
                <w:lang w:val="en-US" w:eastAsia="zh-CN"/>
              </w:rPr>
              <w:t>保险费、</w:t>
            </w:r>
            <w:r>
              <w:rPr>
                <w:color w:val="auto"/>
                <w:highlight w:val="none"/>
              </w:rPr>
              <w:t>代理费</w:t>
            </w:r>
            <w:r>
              <w:rPr>
                <w:rFonts w:hint="eastAsia" w:ascii="宋体" w:hAnsi="宋体" w:cs="宋体"/>
                <w:color w:val="auto"/>
                <w:kern w:val="0"/>
                <w:szCs w:val="24"/>
                <w:highlight w:val="none"/>
              </w:rPr>
              <w:t>、税费、合理利润、风险费用</w:t>
            </w:r>
            <w:r>
              <w:rPr>
                <w:rFonts w:hint="eastAsia"/>
                <w:color w:val="auto"/>
                <w:highlight w:val="none"/>
              </w:rPr>
              <w:t>及合同签订过程中可预见和不可预见费用等。</w:t>
            </w:r>
          </w:p>
          <w:p>
            <w:pPr>
              <w:pStyle w:val="136"/>
              <w:numPr>
                <w:ilvl w:val="0"/>
                <w:numId w:val="53"/>
              </w:numPr>
              <w:spacing w:line="360" w:lineRule="auto"/>
              <w:rPr>
                <w:color w:val="auto"/>
                <w:highlight w:val="none"/>
              </w:rPr>
            </w:pPr>
            <w:r>
              <w:rPr>
                <w:color w:val="auto"/>
                <w:highlight w:val="none"/>
              </w:rPr>
              <w:t>价格为固定不变价，天数为公历日。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center"/>
              <w:rPr>
                <w:b/>
                <w:color w:val="auto"/>
                <w:szCs w:val="21"/>
                <w:highlight w:val="none"/>
              </w:rPr>
            </w:pPr>
            <w:r>
              <w:rPr>
                <w:b/>
                <w:color w:val="auto"/>
                <w:szCs w:val="21"/>
                <w:highlight w:val="none"/>
              </w:rPr>
              <w:t>项目服务地点</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left"/>
              <w:rPr>
                <w:color w:val="auto"/>
                <w:szCs w:val="21"/>
                <w:highlight w:val="none"/>
              </w:rPr>
            </w:pPr>
            <w:r>
              <w:rPr>
                <w:color w:val="auto"/>
                <w:szCs w:val="21"/>
                <w:highlight w:val="none"/>
              </w:rPr>
              <w:t>甲方（用户）指定地点。详细地址为：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center"/>
              <w:rPr>
                <w:b/>
                <w:color w:val="auto"/>
                <w:szCs w:val="21"/>
                <w:highlight w:val="none"/>
              </w:rPr>
            </w:pPr>
            <w:r>
              <w:rPr>
                <w:b/>
                <w:color w:val="auto"/>
                <w:szCs w:val="21"/>
                <w:highlight w:val="none"/>
              </w:rPr>
              <w:t>服务期</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left"/>
              <w:rPr>
                <w:rFonts w:hint="eastAsia"/>
                <w:color w:val="auto"/>
                <w:szCs w:val="21"/>
                <w:highlight w:val="none"/>
              </w:rPr>
            </w:pPr>
            <w:r>
              <w:rPr>
                <w:rFonts w:hint="eastAsia"/>
                <w:color w:val="auto"/>
                <w:szCs w:val="21"/>
                <w:highlight w:val="none"/>
              </w:rPr>
              <w:t>服务期一年，合同生效后之日起提供  车辆保险   服务，直至本项目服务范围内采购的车辆保险到期为止或到达本项目合同金额为止。</w:t>
            </w:r>
          </w:p>
          <w:p>
            <w:pPr>
              <w:pStyle w:val="136"/>
              <w:spacing w:line="360" w:lineRule="auto"/>
              <w:jc w:val="left"/>
              <w:rPr>
                <w:rFonts w:hint="default" w:eastAsia="宋体"/>
                <w:color w:val="auto"/>
                <w:szCs w:val="21"/>
                <w:highlight w:val="none"/>
                <w:lang w:val="en-US" w:eastAsia="zh-CN"/>
              </w:rPr>
            </w:pPr>
            <w:r>
              <w:rPr>
                <w:rFonts w:hint="eastAsia"/>
                <w:color w:val="auto"/>
                <w:szCs w:val="21"/>
                <w:highlight w:val="none"/>
                <w:u w:val="single"/>
                <w:lang w:val="en-US" w:eastAsia="zh-CN"/>
              </w:rPr>
              <w:t xml:space="preserve">     </w:t>
            </w:r>
            <w:r>
              <w:rPr>
                <w:rFonts w:hint="eastAsia"/>
                <w:color w:val="auto"/>
                <w:szCs w:val="21"/>
                <w:highlight w:val="none"/>
                <w:lang w:val="en-US" w:eastAsia="zh-CN"/>
              </w:rPr>
              <w:t>年</w:t>
            </w:r>
            <w:r>
              <w:rPr>
                <w:rFonts w:hint="eastAsia"/>
                <w:color w:val="auto"/>
                <w:szCs w:val="21"/>
                <w:highlight w:val="none"/>
                <w:u w:val="single"/>
                <w:lang w:val="en-US" w:eastAsia="zh-CN"/>
              </w:rPr>
              <w:t xml:space="preserve">    </w:t>
            </w:r>
            <w:r>
              <w:rPr>
                <w:rFonts w:hint="eastAsia"/>
                <w:color w:val="auto"/>
                <w:szCs w:val="21"/>
                <w:highlight w:val="none"/>
                <w:lang w:val="en-US" w:eastAsia="zh-CN"/>
              </w:rPr>
              <w:t>月</w:t>
            </w:r>
            <w:r>
              <w:rPr>
                <w:rFonts w:hint="eastAsia"/>
                <w:color w:val="auto"/>
                <w:szCs w:val="21"/>
                <w:highlight w:val="none"/>
                <w:u w:val="single"/>
                <w:lang w:val="en-US" w:eastAsia="zh-CN"/>
              </w:rPr>
              <w:t xml:space="preserve">    </w:t>
            </w:r>
            <w:r>
              <w:rPr>
                <w:rFonts w:hint="eastAsia"/>
                <w:color w:val="auto"/>
                <w:szCs w:val="21"/>
                <w:highlight w:val="none"/>
                <w:lang w:val="en-US" w:eastAsia="zh-CN"/>
              </w:rPr>
              <w:t>日  至</w:t>
            </w:r>
            <w:r>
              <w:rPr>
                <w:rFonts w:hint="eastAsia"/>
                <w:color w:val="auto"/>
                <w:szCs w:val="21"/>
                <w:highlight w:val="none"/>
                <w:u w:val="single"/>
                <w:lang w:val="en-US" w:eastAsia="zh-CN"/>
              </w:rPr>
              <w:t xml:space="preserve">     </w:t>
            </w:r>
            <w:r>
              <w:rPr>
                <w:rFonts w:hint="eastAsia"/>
                <w:color w:val="auto"/>
                <w:szCs w:val="21"/>
                <w:highlight w:val="none"/>
                <w:lang w:val="en-US" w:eastAsia="zh-CN"/>
              </w:rPr>
              <w:t>年</w:t>
            </w:r>
            <w:r>
              <w:rPr>
                <w:rFonts w:hint="eastAsia"/>
                <w:color w:val="auto"/>
                <w:szCs w:val="21"/>
                <w:highlight w:val="none"/>
                <w:u w:val="single"/>
                <w:lang w:val="en-US" w:eastAsia="zh-CN"/>
              </w:rPr>
              <w:t xml:space="preserve">    </w:t>
            </w:r>
            <w:r>
              <w:rPr>
                <w:rFonts w:hint="eastAsia"/>
                <w:color w:val="auto"/>
                <w:szCs w:val="21"/>
                <w:highlight w:val="none"/>
                <w:lang w:val="en-US" w:eastAsia="zh-CN"/>
              </w:rPr>
              <w:t>月</w:t>
            </w:r>
            <w:r>
              <w:rPr>
                <w:rFonts w:hint="eastAsia"/>
                <w:color w:val="auto"/>
                <w:szCs w:val="21"/>
                <w:highlight w:val="none"/>
                <w:u w:val="single"/>
                <w:lang w:val="en-US" w:eastAsia="zh-CN"/>
              </w:rPr>
              <w:t xml:space="preserve">    </w:t>
            </w:r>
            <w:r>
              <w:rPr>
                <w:rFonts w:hint="eastAsia"/>
                <w:color w:val="auto"/>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center"/>
              <w:rPr>
                <w:b/>
                <w:color w:val="auto"/>
                <w:sz w:val="21"/>
                <w:szCs w:val="21"/>
                <w:highlight w:val="none"/>
              </w:rPr>
            </w:pPr>
            <w:r>
              <w:rPr>
                <w:b/>
                <w:color w:val="auto"/>
                <w:sz w:val="21"/>
                <w:szCs w:val="21"/>
                <w:highlight w:val="none"/>
              </w:rPr>
              <w:t>合同签订方式及情况</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40"/>
              <w:spacing w:line="360" w:lineRule="auto"/>
              <w:jc w:val="left"/>
              <w:rPr>
                <w:color w:val="auto"/>
                <w:highlight w:val="none"/>
              </w:rPr>
            </w:pPr>
            <w:r>
              <w:rPr>
                <w:color w:val="auto"/>
                <w:sz w:val="21"/>
                <w:szCs w:val="21"/>
                <w:highlight w:val="none"/>
              </w:rPr>
              <w:t>一次性签订本项目采购合同。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0" w:type="dxa"/>
            <w:tcBorders>
              <w:top w:val="single" w:color="auto" w:sz="4" w:space="0"/>
              <w:left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right w:val="single" w:color="auto" w:sz="4" w:space="0"/>
            </w:tcBorders>
            <w:noWrap w:val="0"/>
            <w:vAlign w:val="center"/>
          </w:tcPr>
          <w:p>
            <w:pPr>
              <w:pStyle w:val="136"/>
              <w:spacing w:line="360" w:lineRule="auto"/>
              <w:jc w:val="center"/>
              <w:rPr>
                <w:b/>
                <w:color w:val="auto"/>
                <w:szCs w:val="21"/>
                <w:highlight w:val="none"/>
              </w:rPr>
            </w:pPr>
            <w:r>
              <w:rPr>
                <w:b/>
                <w:color w:val="auto"/>
                <w:szCs w:val="21"/>
                <w:highlight w:val="none"/>
              </w:rPr>
              <w:t>付款方式</w:t>
            </w:r>
          </w:p>
        </w:tc>
        <w:tc>
          <w:tcPr>
            <w:tcW w:w="6663" w:type="dxa"/>
            <w:tcBorders>
              <w:top w:val="single" w:color="auto" w:sz="4" w:space="0"/>
              <w:left w:val="single" w:color="auto" w:sz="4" w:space="0"/>
              <w:right w:val="single" w:color="auto" w:sz="4" w:space="0"/>
            </w:tcBorders>
            <w:noWrap w:val="0"/>
            <w:vAlign w:val="center"/>
          </w:tcPr>
          <w:p>
            <w:pPr>
              <w:pStyle w:val="136"/>
              <w:spacing w:line="360" w:lineRule="auto"/>
              <w:jc w:val="left"/>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（1）保险金额按实际购买的车辆保险费用进行结算，年度保险费用不高于</w:t>
            </w:r>
            <w:r>
              <w:rPr>
                <w:rFonts w:hint="eastAsia" w:cs="Times New Roman"/>
                <w:color w:val="auto"/>
                <w:szCs w:val="21"/>
                <w:highlight w:val="none"/>
                <w:lang w:val="en-US" w:eastAsia="zh-CN"/>
              </w:rPr>
              <w:t>预算金</w:t>
            </w:r>
            <w:r>
              <w:rPr>
                <w:rFonts w:hint="eastAsia" w:eastAsia="宋体" w:cs="Times New Roman"/>
                <w:color w:val="auto"/>
                <w:szCs w:val="21"/>
                <w:highlight w:val="none"/>
                <w:lang w:val="en-US" w:eastAsia="zh-CN"/>
              </w:rPr>
              <w:t>额。</w:t>
            </w:r>
          </w:p>
          <w:p>
            <w:pPr>
              <w:pStyle w:val="136"/>
              <w:spacing w:line="360" w:lineRule="auto"/>
              <w:jc w:val="left"/>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（2）乙方于每月5日前向甲方提出下一个月车辆续保费用书面申请，甲方收到申请后5个工作日内以转账的方式向中标人进行支付，乙方在甲方支付后3天内提供保单。</w:t>
            </w:r>
          </w:p>
          <w:p>
            <w:pPr>
              <w:pStyle w:val="136"/>
              <w:spacing w:line="360" w:lineRule="auto"/>
              <w:jc w:val="left"/>
              <w:rPr>
                <w:rFonts w:hint="eastAsia" w:eastAsia="宋体"/>
                <w:color w:val="auto"/>
                <w:highlight w:val="none"/>
                <w:lang w:eastAsia="zh-CN"/>
              </w:rPr>
            </w:pPr>
            <w:r>
              <w:rPr>
                <w:rFonts w:hint="eastAsia" w:eastAsia="宋体" w:cs="Times New Roman"/>
                <w:color w:val="auto"/>
                <w:szCs w:val="21"/>
                <w:highlight w:val="none"/>
                <w:lang w:val="en-US" w:eastAsia="zh-CN"/>
              </w:rPr>
              <w:t>（3）</w:t>
            </w:r>
            <w:r>
              <w:rPr>
                <w:rFonts w:hint="eastAsia" w:ascii="宋体" w:hAnsi="宋体" w:cs="宋体"/>
                <w:color w:val="auto"/>
                <w:szCs w:val="24"/>
                <w:highlight w:val="none"/>
              </w:rPr>
              <w:t>付款由</w:t>
            </w:r>
            <w:r>
              <w:rPr>
                <w:rFonts w:hint="eastAsia" w:ascii="宋体" w:hAnsi="宋体" w:cs="宋体"/>
                <w:color w:val="auto"/>
                <w:szCs w:val="24"/>
                <w:highlight w:val="none"/>
                <w:lang w:val="en-US" w:eastAsia="zh-CN"/>
              </w:rPr>
              <w:t>乙方</w:t>
            </w:r>
            <w:r>
              <w:rPr>
                <w:rFonts w:hint="eastAsia" w:ascii="宋体" w:hAnsi="宋体" w:cs="宋体"/>
                <w:color w:val="auto"/>
                <w:szCs w:val="24"/>
                <w:highlight w:val="none"/>
              </w:rPr>
              <w:t>提出书面申请并提供该期相应金额的发票，方可办理支付手续；收款方、出具发票方、合同乙方均必须与</w:t>
            </w:r>
            <w:r>
              <w:rPr>
                <w:rFonts w:hint="eastAsia" w:ascii="宋体" w:hAnsi="宋体" w:cs="宋体"/>
                <w:color w:val="auto"/>
                <w:szCs w:val="24"/>
                <w:highlight w:val="none"/>
                <w:lang w:val="en-US" w:eastAsia="zh-CN"/>
              </w:rPr>
              <w:t>中标人</w:t>
            </w:r>
            <w:r>
              <w:rPr>
                <w:rFonts w:hint="eastAsia" w:ascii="宋体" w:hAnsi="宋体" w:cs="宋体"/>
                <w:color w:val="auto"/>
                <w:szCs w:val="24"/>
                <w:highlight w:val="none"/>
              </w:rPr>
              <w:t>名称一致。否则</w:t>
            </w:r>
            <w:r>
              <w:rPr>
                <w:rFonts w:hint="eastAsia" w:ascii="宋体" w:hAnsi="宋体" w:cs="宋体"/>
                <w:color w:val="auto"/>
                <w:szCs w:val="24"/>
                <w:highlight w:val="none"/>
                <w:lang w:val="en-US" w:eastAsia="zh-CN"/>
              </w:rPr>
              <w:t>甲方</w:t>
            </w:r>
            <w:r>
              <w:rPr>
                <w:rFonts w:hint="eastAsia" w:ascii="宋体" w:hAnsi="宋体" w:cs="宋体"/>
                <w:color w:val="auto"/>
                <w:szCs w:val="24"/>
                <w:highlight w:val="none"/>
              </w:rPr>
              <w:t>有权顺延付款，</w:t>
            </w:r>
            <w:r>
              <w:rPr>
                <w:rFonts w:hint="eastAsia" w:ascii="宋体" w:hAnsi="宋体" w:cs="宋体"/>
                <w:color w:val="auto"/>
                <w:szCs w:val="24"/>
                <w:highlight w:val="none"/>
                <w:lang w:val="en-US" w:eastAsia="zh-CN"/>
              </w:rPr>
              <w:t>乙方</w:t>
            </w:r>
            <w:r>
              <w:rPr>
                <w:rFonts w:hint="eastAsia" w:ascii="宋体" w:hAnsi="宋体" w:cs="宋体"/>
                <w:color w:val="auto"/>
                <w:szCs w:val="24"/>
                <w:highlight w:val="none"/>
              </w:rPr>
              <w:t>不得以此为由暂停实施本项目或要求顺延</w:t>
            </w:r>
            <w:r>
              <w:rPr>
                <w:rFonts w:hint="eastAsia" w:ascii="宋体" w:hAnsi="宋体" w:cs="宋体"/>
                <w:color w:val="auto"/>
                <w:szCs w:val="24"/>
                <w:highlight w:val="none"/>
                <w:lang w:val="en-US" w:eastAsia="zh-CN"/>
              </w:rPr>
              <w:t>车辆续保</w:t>
            </w:r>
            <w:r>
              <w:rPr>
                <w:rFonts w:hint="eastAsia" w:ascii="宋体" w:hAnsi="宋体" w:cs="宋体"/>
                <w:color w:val="auto"/>
                <w:szCs w:val="24"/>
                <w:highlight w:val="none"/>
              </w:rPr>
              <w:t>时间</w:t>
            </w:r>
            <w:r>
              <w:rPr>
                <w:rFonts w:hint="eastAsia" w:ascii="宋体" w:hAnsi="宋体" w:cs="宋体"/>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b/>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36"/>
              <w:spacing w:line="360" w:lineRule="auto"/>
              <w:jc w:val="center"/>
              <w:rPr>
                <w:b/>
                <w:color w:val="auto"/>
                <w:szCs w:val="21"/>
                <w:highlight w:val="none"/>
              </w:rPr>
            </w:pPr>
            <w:r>
              <w:rPr>
                <w:b/>
                <w:color w:val="auto"/>
                <w:szCs w:val="21"/>
                <w:highlight w:val="none"/>
              </w:rPr>
              <w:t>付款要求</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136"/>
              <w:numPr>
                <w:ilvl w:val="0"/>
                <w:numId w:val="54"/>
              </w:numPr>
              <w:spacing w:line="360" w:lineRule="auto"/>
              <w:jc w:val="left"/>
              <w:rPr>
                <w:color w:val="auto"/>
                <w:szCs w:val="21"/>
                <w:highlight w:val="none"/>
              </w:rPr>
            </w:pPr>
            <w:r>
              <w:rPr>
                <w:rFonts w:hint="eastAsia" w:ascii="宋体" w:hAnsi="宋体" w:cs="宋体"/>
                <w:color w:val="auto"/>
                <w:szCs w:val="24"/>
                <w:highlight w:val="none"/>
              </w:rPr>
              <w:t>“付款”是指甲方向主管部门发出申请付款文件。</w:t>
            </w:r>
          </w:p>
          <w:p>
            <w:pPr>
              <w:pStyle w:val="136"/>
              <w:numPr>
                <w:ilvl w:val="0"/>
                <w:numId w:val="54"/>
              </w:numPr>
              <w:spacing w:line="360" w:lineRule="auto"/>
              <w:jc w:val="left"/>
              <w:rPr>
                <w:color w:val="auto"/>
                <w:szCs w:val="21"/>
                <w:highlight w:val="none"/>
              </w:rPr>
            </w:pPr>
            <w:r>
              <w:rPr>
                <w:rFonts w:hint="eastAsia"/>
                <w:color w:val="auto"/>
                <w:szCs w:val="21"/>
                <w:highlight w:val="none"/>
              </w:rPr>
              <w:t>乙方应理解甲方付款的相关程序，因甲方使用的是财政资金，甲方在前款规定的付款时间为向财政支付部门提出办理财政支付申请手续的时间，不含财政支付部门审核的时间，甲方在约定期限内向财政支付部门发出付款申请即视为甲方已按期支付。因财政支付审批流程及办理手续而造成项目支付进度有所推延，甲方不承担逾期付款违约责任。（若因政府财政部门年底封账导致逾期付款，甲方不承担逾期付款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rFonts w:ascii="宋体" w:hAnsi="宋体" w:cs="宋体"/>
                <w:bCs/>
                <w:color w:val="auto"/>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olor w:val="auto"/>
                <w:sz w:val="21"/>
                <w:szCs w:val="21"/>
                <w:highlight w:val="none"/>
                <w:lang w:eastAsia="zh-CN"/>
              </w:rPr>
            </w:pPr>
            <w:r>
              <w:rPr>
                <w:rFonts w:hint="eastAsia" w:ascii="Calibri" w:hAnsi="Calibri" w:eastAsia="宋体" w:cs="Times New Roman"/>
                <w:b/>
                <w:color w:val="auto"/>
                <w:kern w:val="2"/>
                <w:sz w:val="21"/>
                <w:szCs w:val="21"/>
                <w:highlight w:val="none"/>
                <w:lang w:val="en-US" w:eastAsia="zh-CN" w:bidi="ar-SA"/>
              </w:rPr>
              <w:t>服务范围</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47"/>
              <w:spacing w:line="360" w:lineRule="auto"/>
              <w:rPr>
                <w:rFonts w:hint="default"/>
                <w:color w:val="auto"/>
                <w:highlight w:val="none"/>
                <w:lang w:val="en-US" w:eastAsia="zh-CN"/>
              </w:rPr>
            </w:pPr>
            <w:r>
              <w:rPr>
                <w:rFonts w:hint="eastAsia" w:ascii="宋体" w:hAnsi="宋体" w:eastAsia="宋体" w:cs="宋体"/>
                <w:bCs w:val="0"/>
                <w:color w:val="auto"/>
                <w:spacing w:val="0"/>
                <w:kern w:val="2"/>
                <w:sz w:val="21"/>
                <w:szCs w:val="21"/>
                <w:highlight w:val="none"/>
                <w:lang w:val="en-US" w:eastAsia="zh-CN" w:bidi="ar-SA"/>
              </w:rPr>
              <w:t>包话佛山市公安局禅城分局服务范围内的汽车和摩托车车辆保险采购，期限为一个年度（2023年度），要求乙方做好到期车辆续保工作，未到期车辆做好跟踪服务，以备到期及时续保。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rFonts w:ascii="宋体" w:hAnsi="宋体" w:cs="宋体"/>
                <w:bCs/>
                <w:color w:val="auto"/>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其他商务要求</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47"/>
              <w:numPr>
                <w:ilvl w:val="0"/>
                <w:numId w:val="55"/>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车辆发生事故时，佛山区域内乙方应当在投保人报案后半小时内到场查勘；佛山区域外的乙方应当在报案后一小时内到达。乙方未能在要求的时间内到达或明确回复不到场查勘、定损的，可授权维修厂即时维修，乙方必须无条件接受已发生的维修费用，凭修车发票、车损照片直接赔付。</w:t>
            </w:r>
          </w:p>
          <w:p>
            <w:pPr>
              <w:pStyle w:val="47"/>
              <w:numPr>
                <w:ilvl w:val="0"/>
                <w:numId w:val="55"/>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事故定损。</w:t>
            </w:r>
          </w:p>
          <w:p>
            <w:pPr>
              <w:pStyle w:val="47"/>
              <w:numPr>
                <w:ilvl w:val="0"/>
                <w:numId w:val="56"/>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定损金额由乙方与维修厂自行协商确定，若须第三方定损，定损费用由乙方承担。</w:t>
            </w:r>
          </w:p>
          <w:p>
            <w:pPr>
              <w:pStyle w:val="47"/>
              <w:numPr>
                <w:ilvl w:val="0"/>
                <w:numId w:val="56"/>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乙方须将甲方协议维修厂作为定损维修厂。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rFonts w:ascii="宋体" w:hAnsi="宋体" w:cs="宋体"/>
                <w:bCs/>
                <w:color w:val="auto"/>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增值服务</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提供道路救援服务（包括但不限于以下项目：更换轮胎、现场抢修、拖车牵引、吊装救援、困境救援等）。</w:t>
            </w:r>
          </w:p>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提供法律援助服务。</w:t>
            </w:r>
          </w:p>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出险后派专人指导或代理投保人办理理赔手续，指派专人上门取出险资料。包括代理/协助事故现场处理（指引、调解、施救）及代理/协助事故调解（驻点医院调解、预约调解）。</w:t>
            </w:r>
          </w:p>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快速理赔服务。预估损失金额在10000元以内的单方事故，当即确定损失金额，车主可将车开到指定维修厂后再通知乙方查勘。</w:t>
            </w:r>
          </w:p>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预付赔款服务。对于事故和保险责任明确的重大保险事故，乙方结合事故责任和保单条款，根据已有证明和资料对能确定的损失金额一定比例向客户预付赔款。</w:t>
            </w:r>
          </w:p>
          <w:p>
            <w:pPr>
              <w:pStyle w:val="47"/>
              <w:numPr>
                <w:ilvl w:val="0"/>
                <w:numId w:val="57"/>
              </w:numPr>
              <w:spacing w:line="360" w:lineRule="auto"/>
              <w:ind w:left="425" w:leftChars="0" w:hanging="425"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在合同期内，乙方定期组织各车辆使用部门和人员定期开展业务培训，并上门查验车辆情况，快速处理小型剐蹭擦痕和车辆翻新服务。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0"/>
              <w:numPr>
                <w:ilvl w:val="0"/>
                <w:numId w:val="52"/>
              </w:numPr>
              <w:tabs>
                <w:tab w:val="left" w:pos="453"/>
              </w:tabs>
              <w:spacing w:line="360" w:lineRule="auto"/>
              <w:jc w:val="center"/>
              <w:rPr>
                <w:rFonts w:ascii="宋体" w:hAnsi="宋体" w:cs="宋体"/>
                <w:bCs/>
                <w:color w:val="auto"/>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pStyle w:val="47"/>
              <w:numPr>
                <w:ilvl w:val="0"/>
                <w:numId w:val="0"/>
              </w:numPr>
              <w:spacing w:line="360" w:lineRule="auto"/>
              <w:ind w:left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根据国家金融监督管理总局（原中国保险监督管理委员会）的有关规定，所有保险公司必须严格执行统一基础费率，并通过保监会指定的统一平台进行定价，根据每台车辆往年出险次数，配合各自公司自主核保系数及渠道系数，合法合规定价。</w:t>
            </w:r>
          </w:p>
        </w:tc>
      </w:tr>
    </w:tbl>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四、</w:t>
      </w:r>
      <w:r>
        <w:rPr>
          <w:rFonts w:eastAsiaTheme="minorEastAsia"/>
          <w:b/>
          <w:bCs/>
          <w:color w:val="auto"/>
          <w:highlight w:val="none"/>
        </w:rPr>
        <w:t>服务对照执行标准：</w:t>
      </w:r>
    </w:p>
    <w:p>
      <w:pPr>
        <w:pStyle w:val="140"/>
        <w:numPr>
          <w:ilvl w:val="1"/>
          <w:numId w:val="58"/>
        </w:numPr>
        <w:spacing w:line="360" w:lineRule="auto"/>
        <w:rPr>
          <w:rFonts w:eastAsiaTheme="minorEastAsia"/>
          <w:bCs/>
          <w:color w:val="auto"/>
          <w:highlight w:val="none"/>
        </w:rPr>
      </w:pPr>
      <w:r>
        <w:rPr>
          <w:rFonts w:eastAsiaTheme="minorEastAsia"/>
          <w:bCs/>
          <w:color w:val="auto"/>
          <w:highlight w:val="none"/>
        </w:rPr>
        <w:t>符合中华人民共和国国家和履约地相关安全质量标准、行业技术规范标准；</w:t>
      </w:r>
    </w:p>
    <w:p>
      <w:pPr>
        <w:pStyle w:val="140"/>
        <w:numPr>
          <w:ilvl w:val="1"/>
          <w:numId w:val="58"/>
        </w:numPr>
        <w:spacing w:line="360" w:lineRule="auto"/>
        <w:rPr>
          <w:rFonts w:eastAsiaTheme="minorEastAsia"/>
          <w:bCs/>
          <w:color w:val="auto"/>
          <w:highlight w:val="none"/>
        </w:rPr>
      </w:pPr>
      <w:r>
        <w:rPr>
          <w:rFonts w:hint="eastAsia" w:eastAsiaTheme="minorEastAsia"/>
          <w:bCs/>
          <w:color w:val="auto"/>
          <w:highlight w:val="none"/>
        </w:rPr>
        <w:t>符合磋商文件、响应文件和响应承诺中各方共同认可的合理要求</w:t>
      </w:r>
      <w:r>
        <w:rPr>
          <w:rFonts w:eastAsiaTheme="minorEastAsia"/>
          <w:bCs/>
          <w:color w:val="auto"/>
          <w:highlight w:val="none"/>
        </w:rPr>
        <w:t>；</w:t>
      </w:r>
    </w:p>
    <w:p>
      <w:pPr>
        <w:pStyle w:val="137"/>
        <w:spacing w:line="360" w:lineRule="auto"/>
        <w:ind w:firstLine="420"/>
        <w:rPr>
          <w:rFonts w:eastAsiaTheme="minorEastAsia"/>
          <w:bCs/>
          <w:color w:val="auto"/>
          <w:highlight w:val="none"/>
        </w:rPr>
      </w:pPr>
      <w:r>
        <w:rPr>
          <w:rFonts w:eastAsiaTheme="minorEastAsia"/>
          <w:bCs/>
          <w:color w:val="auto"/>
          <w:highlight w:val="none"/>
        </w:rPr>
        <w:t>上述各类标准与法规</w:t>
      </w:r>
      <w:r>
        <w:rPr>
          <w:rFonts w:hint="eastAsia" w:eastAsiaTheme="minorEastAsia"/>
          <w:bCs/>
          <w:color w:val="auto"/>
          <w:highlight w:val="none"/>
          <w:lang w:val="en-US" w:eastAsia="zh-CN"/>
        </w:rPr>
        <w:t>应</w:t>
      </w:r>
      <w:r>
        <w:rPr>
          <w:rFonts w:eastAsiaTheme="minorEastAsia"/>
          <w:bCs/>
          <w:color w:val="auto"/>
          <w:highlight w:val="none"/>
        </w:rPr>
        <w:t>是有关官方机构最新发布的现行标准版本。</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五、</w:t>
      </w:r>
      <w:r>
        <w:rPr>
          <w:rFonts w:eastAsiaTheme="minorEastAsia"/>
          <w:b/>
          <w:bCs/>
          <w:color w:val="auto"/>
          <w:highlight w:val="none"/>
        </w:rPr>
        <w:t>投诉跟踪服务要求：</w:t>
      </w:r>
    </w:p>
    <w:p>
      <w:pPr>
        <w:pStyle w:val="140"/>
        <w:numPr>
          <w:ilvl w:val="1"/>
          <w:numId w:val="59"/>
        </w:numPr>
        <w:spacing w:line="360" w:lineRule="auto"/>
        <w:rPr>
          <w:rFonts w:eastAsiaTheme="minorEastAsia"/>
          <w:bCs/>
          <w:color w:val="auto"/>
          <w:highlight w:val="none"/>
        </w:rPr>
      </w:pPr>
      <w:r>
        <w:rPr>
          <w:rFonts w:eastAsiaTheme="minorEastAsia"/>
          <w:bCs/>
          <w:color w:val="auto"/>
          <w:highlight w:val="none"/>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140"/>
        <w:numPr>
          <w:ilvl w:val="1"/>
          <w:numId w:val="59"/>
        </w:numPr>
        <w:spacing w:line="360" w:lineRule="auto"/>
        <w:rPr>
          <w:rFonts w:eastAsiaTheme="minorEastAsia"/>
          <w:color w:val="auto"/>
          <w:highlight w:val="none"/>
        </w:rPr>
      </w:pPr>
      <w:r>
        <w:rPr>
          <w:rFonts w:eastAsiaTheme="minorEastAsia"/>
          <w:bCs/>
          <w:color w:val="auto"/>
          <w:highlight w:val="none"/>
        </w:rPr>
        <w:t>服务期内，甲方有权按本项目的管理要求对乙方进行不定期抽查检查，若对不合格的管理服务提出警告后，仍未得到有效解决时，甲方有权终止管理合同。</w:t>
      </w:r>
    </w:p>
    <w:p>
      <w:pPr>
        <w:pStyle w:val="140"/>
        <w:numPr>
          <w:ilvl w:val="1"/>
          <w:numId w:val="59"/>
        </w:numPr>
        <w:spacing w:line="360" w:lineRule="auto"/>
        <w:rPr>
          <w:rFonts w:eastAsiaTheme="minorEastAsia"/>
          <w:color w:val="auto"/>
          <w:highlight w:val="none"/>
        </w:rPr>
      </w:pPr>
      <w:r>
        <w:rPr>
          <w:rFonts w:eastAsiaTheme="minorEastAsia"/>
          <w:bCs/>
          <w:color w:val="auto"/>
          <w:highlight w:val="none"/>
        </w:rPr>
        <w:t>乙方服务机构名称及地址：</w:t>
      </w:r>
    </w:p>
    <w:p>
      <w:pPr>
        <w:pStyle w:val="137"/>
        <w:spacing w:line="360" w:lineRule="auto"/>
        <w:ind w:firstLine="420"/>
        <w:rPr>
          <w:rFonts w:eastAsiaTheme="minorEastAsia"/>
          <w:color w:val="auto"/>
          <w:highlight w:val="none"/>
        </w:rPr>
      </w:pPr>
      <w:r>
        <w:rPr>
          <w:rFonts w:eastAsiaTheme="minorEastAsia"/>
          <w:color w:val="auto"/>
          <w:highlight w:val="none"/>
        </w:rPr>
        <w:t>联系人1：          ，联系电话：            ，手机：          ；</w:t>
      </w:r>
    </w:p>
    <w:p>
      <w:pPr>
        <w:pStyle w:val="137"/>
        <w:spacing w:line="360" w:lineRule="auto"/>
        <w:ind w:firstLine="420"/>
        <w:rPr>
          <w:rFonts w:eastAsiaTheme="minorEastAsia"/>
          <w:bCs/>
          <w:color w:val="auto"/>
          <w:highlight w:val="none"/>
        </w:rPr>
      </w:pPr>
      <w:r>
        <w:rPr>
          <w:rFonts w:eastAsiaTheme="minorEastAsia"/>
          <w:bCs/>
          <w:color w:val="auto"/>
          <w:highlight w:val="none"/>
        </w:rPr>
        <w:t>联系人2：          ，联系电话：            ，手机：          ；</w:t>
      </w:r>
    </w:p>
    <w:p>
      <w:pPr>
        <w:pStyle w:val="137"/>
        <w:spacing w:line="360" w:lineRule="auto"/>
        <w:ind w:firstLine="420"/>
        <w:rPr>
          <w:rFonts w:eastAsiaTheme="minorEastAsia"/>
          <w:color w:val="auto"/>
          <w:highlight w:val="none"/>
        </w:rPr>
      </w:pPr>
      <w:r>
        <w:rPr>
          <w:rFonts w:eastAsiaTheme="minorEastAsia"/>
          <w:bCs/>
          <w:color w:val="auto"/>
          <w:highlight w:val="none"/>
        </w:rPr>
        <w:t>服务专线电话：</w:t>
      </w:r>
    </w:p>
    <w:p>
      <w:pPr>
        <w:pStyle w:val="140"/>
        <w:numPr>
          <w:ilvl w:val="1"/>
          <w:numId w:val="59"/>
        </w:numPr>
        <w:spacing w:line="360" w:lineRule="auto"/>
        <w:rPr>
          <w:rFonts w:eastAsiaTheme="minorEastAsia"/>
          <w:bCs/>
          <w:color w:val="auto"/>
          <w:highlight w:val="none"/>
        </w:rPr>
      </w:pPr>
      <w:r>
        <w:rPr>
          <w:rFonts w:eastAsiaTheme="minorEastAsia"/>
          <w:bCs/>
          <w:color w:val="auto"/>
          <w:highlight w:val="none"/>
        </w:rPr>
        <w:t>其他服务要求：（补充内容不得对采购文件和投标/响应文件作实质性修改）</w:t>
      </w:r>
    </w:p>
    <w:p>
      <w:pPr>
        <w:pStyle w:val="137"/>
        <w:spacing w:line="360" w:lineRule="auto"/>
        <w:ind w:left="510"/>
        <w:rPr>
          <w:rFonts w:eastAsiaTheme="minorEastAsia"/>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有：</w:t>
      </w:r>
      <w:r>
        <w:rPr>
          <w:rFonts w:eastAsiaTheme="minorEastAsia"/>
          <w:color w:val="auto"/>
          <w:highlight w:val="none"/>
        </w:rPr>
        <w:t>。</w:t>
      </w:r>
    </w:p>
    <w:p>
      <w:pPr>
        <w:pStyle w:val="137"/>
        <w:spacing w:line="360" w:lineRule="auto"/>
        <w:ind w:left="510"/>
        <w:rPr>
          <w:rFonts w:eastAsiaTheme="minorEastAsia"/>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无。</w:t>
      </w:r>
    </w:p>
    <w:p>
      <w:pPr>
        <w:pStyle w:val="140"/>
        <w:numPr>
          <w:ilvl w:val="0"/>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六、</w:t>
      </w:r>
      <w:r>
        <w:rPr>
          <w:rFonts w:eastAsiaTheme="minorEastAsia"/>
          <w:b/>
          <w:bCs/>
          <w:color w:val="auto"/>
          <w:highlight w:val="none"/>
        </w:rPr>
        <w:t xml:space="preserve">验收要求： </w:t>
      </w:r>
    </w:p>
    <w:p>
      <w:pPr>
        <w:pStyle w:val="140"/>
        <w:numPr>
          <w:ilvl w:val="1"/>
          <w:numId w:val="60"/>
        </w:numPr>
        <w:spacing w:line="360" w:lineRule="auto"/>
        <w:rPr>
          <w:rFonts w:eastAsiaTheme="minorEastAsia"/>
          <w:bCs/>
          <w:color w:val="auto"/>
          <w:highlight w:val="none"/>
        </w:rPr>
      </w:pPr>
      <w:r>
        <w:rPr>
          <w:rFonts w:eastAsiaTheme="minorEastAsia"/>
          <w:bCs/>
          <w:color w:val="auto"/>
          <w:highlight w:val="none"/>
        </w:rPr>
        <w:t>甲方在收到乙方项目验收建议之日起7个工作日内按照合同的约定对履约情况进行验收。乙方需为验收提供必需的一切条件及相关费用，并提供本项目的相关文档和验收所需资料，积极配合甲方完成验收工作。</w:t>
      </w:r>
    </w:p>
    <w:p>
      <w:pPr>
        <w:pStyle w:val="140"/>
        <w:numPr>
          <w:ilvl w:val="1"/>
          <w:numId w:val="60"/>
        </w:numPr>
        <w:spacing w:line="360" w:lineRule="auto"/>
        <w:rPr>
          <w:rFonts w:eastAsiaTheme="minorEastAsia"/>
          <w:bCs/>
          <w:color w:val="auto"/>
          <w:highlight w:val="none"/>
        </w:rPr>
      </w:pPr>
      <w:r>
        <w:rPr>
          <w:rFonts w:eastAsiaTheme="minorEastAsia"/>
          <w:bCs/>
          <w:color w:val="auto"/>
          <w:highlight w:val="none"/>
        </w:rPr>
        <w:t>其他验收要求：（补充内容不得对采购文件和投标/响应文件作实质性修改）</w:t>
      </w:r>
    </w:p>
    <w:p>
      <w:pPr>
        <w:pStyle w:val="137"/>
        <w:spacing w:line="360" w:lineRule="auto"/>
        <w:ind w:left="510"/>
        <w:rPr>
          <w:rFonts w:eastAsiaTheme="minorEastAsia"/>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有：</w:t>
      </w:r>
      <w:r>
        <w:rPr>
          <w:rFonts w:eastAsiaTheme="minorEastAsia"/>
          <w:color w:val="auto"/>
          <w:highlight w:val="none"/>
        </w:rPr>
        <w:t>。</w:t>
      </w:r>
    </w:p>
    <w:p>
      <w:pPr>
        <w:pStyle w:val="140"/>
        <w:tabs>
          <w:tab w:val="left" w:pos="510"/>
        </w:tabs>
        <w:spacing w:line="360" w:lineRule="auto"/>
        <w:ind w:firstLine="480" w:firstLineChars="200"/>
        <w:rPr>
          <w:rFonts w:eastAsiaTheme="minorEastAsia"/>
          <w:bCs/>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无。</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七、</w:t>
      </w:r>
      <w:r>
        <w:rPr>
          <w:rFonts w:eastAsiaTheme="minorEastAsia"/>
          <w:b/>
          <w:bCs/>
          <w:color w:val="auto"/>
          <w:highlight w:val="none"/>
        </w:rPr>
        <w:t>知识产权和保密要求：</w:t>
      </w:r>
    </w:p>
    <w:p>
      <w:pPr>
        <w:pStyle w:val="137"/>
        <w:spacing w:line="360" w:lineRule="auto"/>
        <w:ind w:left="510"/>
        <w:rPr>
          <w:rFonts w:eastAsiaTheme="minorEastAsia"/>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有：</w:t>
      </w:r>
      <w:r>
        <w:rPr>
          <w:rFonts w:eastAsiaTheme="minorEastAsia"/>
          <w:color w:val="auto"/>
          <w:highlight w:val="none"/>
        </w:rPr>
        <w:t>。</w:t>
      </w:r>
    </w:p>
    <w:p>
      <w:pPr>
        <w:pStyle w:val="140"/>
        <w:spacing w:line="360" w:lineRule="auto"/>
        <w:ind w:left="510"/>
        <w:rPr>
          <w:rFonts w:eastAsiaTheme="minorEastAsia"/>
          <w:b/>
          <w:bCs/>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无。</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八、</w:t>
      </w:r>
      <w:r>
        <w:rPr>
          <w:rFonts w:eastAsiaTheme="minorEastAsia"/>
          <w:b/>
          <w:bCs/>
          <w:color w:val="auto"/>
          <w:highlight w:val="none"/>
        </w:rPr>
        <w:t>违约责任：</w:t>
      </w:r>
    </w:p>
    <w:p>
      <w:pPr>
        <w:pStyle w:val="140"/>
        <w:numPr>
          <w:ilvl w:val="1"/>
          <w:numId w:val="61"/>
        </w:numPr>
        <w:spacing w:line="360" w:lineRule="auto"/>
        <w:rPr>
          <w:rFonts w:eastAsiaTheme="minorEastAsia"/>
          <w:bCs/>
          <w:color w:val="auto"/>
          <w:highlight w:val="none"/>
        </w:rPr>
      </w:pPr>
      <w:r>
        <w:rPr>
          <w:rFonts w:eastAsiaTheme="minorEastAsia"/>
          <w:bCs/>
          <w:color w:val="auto"/>
          <w:highlight w:val="none"/>
        </w:rPr>
        <w:t>乙方未按要求履行合同义务时，须从违约之日起每日按合同总额的</w:t>
      </w:r>
      <w:r>
        <w:rPr>
          <w:rFonts w:hint="eastAsia" w:eastAsiaTheme="minorEastAsia"/>
          <w:bCs/>
          <w:color w:val="auto"/>
          <w:highlight w:val="none"/>
          <w:u w:val="single"/>
        </w:rPr>
        <w:t>5‰</w:t>
      </w:r>
      <w:r>
        <w:rPr>
          <w:rFonts w:eastAsiaTheme="minorEastAsia"/>
          <w:bCs/>
          <w:color w:val="auto"/>
          <w:highlight w:val="none"/>
        </w:rPr>
        <w:t>比例向甲方支付违约金；逾期</w:t>
      </w:r>
      <w:r>
        <w:rPr>
          <w:rFonts w:hint="eastAsia" w:eastAsiaTheme="minorEastAsia"/>
          <w:bCs/>
          <w:color w:val="auto"/>
          <w:highlight w:val="none"/>
          <w:u w:val="single"/>
        </w:rPr>
        <w:t>30</w:t>
      </w:r>
      <w:r>
        <w:rPr>
          <w:rFonts w:eastAsiaTheme="minorEastAsia"/>
          <w:bCs/>
          <w:color w:val="auto"/>
          <w:highlight w:val="none"/>
        </w:rPr>
        <w:t>日以上时，甲方有权终止合同，由此造成甲方的经济损失由乙方承担。违约金不足以弥补损失的，乙方应按全额赔偿。</w:t>
      </w:r>
    </w:p>
    <w:p>
      <w:pPr>
        <w:pStyle w:val="140"/>
        <w:numPr>
          <w:ilvl w:val="1"/>
          <w:numId w:val="61"/>
        </w:numPr>
        <w:spacing w:line="360" w:lineRule="auto"/>
        <w:rPr>
          <w:rFonts w:eastAsiaTheme="minorEastAsia"/>
          <w:bCs/>
          <w:color w:val="auto"/>
          <w:highlight w:val="none"/>
        </w:rPr>
      </w:pPr>
      <w:r>
        <w:rPr>
          <w:rFonts w:eastAsiaTheme="minorEastAsia"/>
          <w:bCs/>
          <w:color w:val="auto"/>
          <w:highlight w:val="none"/>
        </w:rPr>
        <w:t>甲方未按要求履行合同义务时，或无故拖延验收、付款时，甲方须向乙方支付滞纳金，标准为每日按逾期应付款总额的</w:t>
      </w:r>
      <w:r>
        <w:rPr>
          <w:rFonts w:hint="eastAsia" w:eastAsiaTheme="minorEastAsia"/>
          <w:bCs/>
          <w:color w:val="auto"/>
          <w:highlight w:val="none"/>
          <w:u w:val="single"/>
        </w:rPr>
        <w:t>5‰</w:t>
      </w:r>
      <w:r>
        <w:rPr>
          <w:rFonts w:eastAsiaTheme="minorEastAsia"/>
          <w:bCs/>
          <w:color w:val="auto"/>
          <w:highlight w:val="none"/>
        </w:rPr>
        <w:t>累计。</w:t>
      </w:r>
    </w:p>
    <w:p>
      <w:pPr>
        <w:pStyle w:val="140"/>
        <w:numPr>
          <w:ilvl w:val="1"/>
          <w:numId w:val="61"/>
        </w:numPr>
        <w:spacing w:line="360" w:lineRule="auto"/>
        <w:rPr>
          <w:rFonts w:eastAsiaTheme="minorEastAsia"/>
          <w:bCs/>
          <w:color w:val="auto"/>
          <w:highlight w:val="none"/>
        </w:rPr>
      </w:pPr>
      <w:r>
        <w:rPr>
          <w:rFonts w:hint="eastAsia" w:eastAsiaTheme="minorEastAsia"/>
          <w:bCs/>
          <w:color w:val="auto"/>
          <w:highlight w:val="none"/>
        </w:rPr>
        <w:t>一方违约，守约方为追究违约方违约责任所支出的费用（包括但不限于诉讼费、保全费、律师费、鉴定费、公证费及差旅费等）由违约方承担。</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九、</w:t>
      </w:r>
      <w:r>
        <w:rPr>
          <w:rFonts w:eastAsiaTheme="minorEastAsia"/>
          <w:b/>
          <w:bCs/>
          <w:color w:val="auto"/>
          <w:highlight w:val="none"/>
        </w:rPr>
        <w:t>提出异议的时间和方法：</w:t>
      </w:r>
    </w:p>
    <w:p>
      <w:pPr>
        <w:pStyle w:val="140"/>
        <w:numPr>
          <w:ilvl w:val="1"/>
          <w:numId w:val="62"/>
        </w:numPr>
        <w:spacing w:line="360" w:lineRule="auto"/>
        <w:rPr>
          <w:rFonts w:eastAsiaTheme="minorEastAsia"/>
          <w:bCs/>
          <w:color w:val="auto"/>
          <w:highlight w:val="none"/>
        </w:rPr>
      </w:pPr>
      <w:r>
        <w:rPr>
          <w:rFonts w:eastAsiaTheme="minorEastAsia"/>
          <w:bCs/>
          <w:color w:val="auto"/>
          <w:highlight w:val="none"/>
        </w:rPr>
        <w:t>甲方有异议时，应</w:t>
      </w:r>
      <w:r>
        <w:rPr>
          <w:rFonts w:hint="eastAsia" w:eastAsiaTheme="minorEastAsia"/>
          <w:color w:val="auto"/>
          <w:highlight w:val="none"/>
          <w:u w:val="single"/>
        </w:rPr>
        <w:t>7</w:t>
      </w:r>
      <w:r>
        <w:rPr>
          <w:rFonts w:eastAsiaTheme="minorEastAsia"/>
          <w:bCs/>
          <w:color w:val="auto"/>
          <w:highlight w:val="none"/>
        </w:rPr>
        <w:t>天内向乙方提出书面异议。</w:t>
      </w:r>
    </w:p>
    <w:p>
      <w:pPr>
        <w:pStyle w:val="140"/>
        <w:numPr>
          <w:ilvl w:val="1"/>
          <w:numId w:val="62"/>
        </w:numPr>
        <w:spacing w:line="360" w:lineRule="auto"/>
        <w:rPr>
          <w:rFonts w:eastAsiaTheme="minorEastAsia"/>
          <w:bCs/>
          <w:color w:val="auto"/>
          <w:highlight w:val="none"/>
        </w:rPr>
      </w:pPr>
      <w:r>
        <w:rPr>
          <w:rFonts w:eastAsiaTheme="minorEastAsia"/>
          <w:bCs/>
          <w:color w:val="auto"/>
          <w:highlight w:val="none"/>
        </w:rPr>
        <w:t>乙方在接到甲方书面异议后，应在3天内负责处理并函复甲方处理情况，否则，即视为默认甲方提出的异议和处理意见。</w:t>
      </w:r>
    </w:p>
    <w:p>
      <w:pPr>
        <w:pStyle w:val="140"/>
        <w:numPr>
          <w:ilvl w:val="1"/>
          <w:numId w:val="62"/>
        </w:numPr>
        <w:spacing w:line="360" w:lineRule="auto"/>
        <w:rPr>
          <w:rFonts w:eastAsiaTheme="minorEastAsia"/>
          <w:bCs/>
          <w:color w:val="auto"/>
          <w:highlight w:val="none"/>
        </w:rPr>
      </w:pPr>
      <w:r>
        <w:rPr>
          <w:rFonts w:eastAsiaTheme="minorEastAsia"/>
          <w:bCs/>
          <w:color w:val="auto"/>
          <w:highlight w:val="none"/>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w:t>
      </w:r>
      <w:r>
        <w:rPr>
          <w:rFonts w:eastAsiaTheme="minorEastAsia"/>
          <w:b/>
          <w:bCs/>
          <w:color w:val="auto"/>
          <w:highlight w:val="none"/>
        </w:rPr>
        <w:t>争议的解决：</w:t>
      </w:r>
    </w:p>
    <w:p>
      <w:pPr>
        <w:pStyle w:val="140"/>
        <w:numPr>
          <w:ilvl w:val="1"/>
          <w:numId w:val="63"/>
        </w:numPr>
        <w:spacing w:line="360" w:lineRule="auto"/>
        <w:rPr>
          <w:rFonts w:eastAsiaTheme="minorEastAsia"/>
          <w:bCs/>
          <w:color w:val="auto"/>
          <w:highlight w:val="none"/>
        </w:rPr>
      </w:pPr>
      <w:r>
        <w:rPr>
          <w:rFonts w:eastAsiaTheme="minorEastAsia"/>
          <w:bCs/>
          <w:color w:val="auto"/>
          <w:highlight w:val="none"/>
        </w:rPr>
        <w:t>合同履行过程中发生的任何争议，如双方未能通过友好协商解决，应向</w:t>
      </w:r>
      <w:r>
        <w:rPr>
          <w:rFonts w:hint="eastAsia" w:eastAsiaTheme="minorEastAsia"/>
          <w:bCs/>
          <w:color w:val="auto"/>
          <w:highlight w:val="none"/>
        </w:rPr>
        <w:t>甲方所在地</w:t>
      </w:r>
      <w:r>
        <w:rPr>
          <w:rFonts w:eastAsiaTheme="minorEastAsia"/>
          <w:bCs/>
          <w:color w:val="auto"/>
          <w:highlight w:val="none"/>
        </w:rPr>
        <w:t>人民法院提起诉讼。</w:t>
      </w:r>
    </w:p>
    <w:p>
      <w:pPr>
        <w:pStyle w:val="140"/>
        <w:numPr>
          <w:ilvl w:val="1"/>
          <w:numId w:val="63"/>
        </w:numPr>
        <w:spacing w:line="360" w:lineRule="auto"/>
        <w:rPr>
          <w:rFonts w:eastAsiaTheme="minorEastAsia"/>
          <w:bCs/>
          <w:color w:val="auto"/>
          <w:highlight w:val="none"/>
        </w:rPr>
      </w:pPr>
      <w:r>
        <w:rPr>
          <w:rFonts w:eastAsiaTheme="minorEastAsia"/>
          <w:bCs/>
          <w:color w:val="auto"/>
          <w:highlight w:val="none"/>
        </w:rPr>
        <w:t>法院审理期间，除提交法院审理的事项外，其它无争议的事项和条款仍应继续履行。</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十一、</w:t>
      </w:r>
      <w:r>
        <w:rPr>
          <w:rFonts w:eastAsiaTheme="minorEastAsia"/>
          <w:b/>
          <w:bCs/>
          <w:color w:val="auto"/>
          <w:highlight w:val="none"/>
        </w:rPr>
        <w:t xml:space="preserve">不可抗力： </w:t>
      </w:r>
    </w:p>
    <w:p>
      <w:pPr>
        <w:pStyle w:val="137"/>
        <w:spacing w:line="360" w:lineRule="auto"/>
        <w:ind w:firstLine="420"/>
        <w:rPr>
          <w:rFonts w:eastAsiaTheme="minorEastAsia"/>
          <w:bCs/>
          <w:color w:val="auto"/>
          <w:highlight w:val="none"/>
        </w:rPr>
      </w:pPr>
      <w:r>
        <w:rPr>
          <w:rFonts w:eastAsiaTheme="minorEastAsia"/>
          <w:bCs/>
          <w:color w:val="auto"/>
          <w:highlight w:val="none"/>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十二、</w:t>
      </w:r>
      <w:r>
        <w:rPr>
          <w:rFonts w:eastAsiaTheme="minorEastAsia"/>
          <w:b/>
          <w:bCs/>
          <w:color w:val="auto"/>
          <w:highlight w:val="none"/>
        </w:rPr>
        <w:t>税费：</w:t>
      </w:r>
    </w:p>
    <w:p>
      <w:pPr>
        <w:pStyle w:val="140"/>
        <w:numPr>
          <w:ilvl w:val="1"/>
          <w:numId w:val="64"/>
        </w:numPr>
        <w:spacing w:line="360" w:lineRule="auto"/>
        <w:rPr>
          <w:rFonts w:eastAsiaTheme="minorEastAsia"/>
          <w:bCs/>
          <w:color w:val="auto"/>
          <w:highlight w:val="none"/>
        </w:rPr>
      </w:pPr>
      <w:r>
        <w:rPr>
          <w:rFonts w:eastAsiaTheme="minorEastAsia"/>
          <w:bCs/>
          <w:color w:val="auto"/>
          <w:highlight w:val="none"/>
        </w:rPr>
        <w:t>本合同实施过程中所发生的一切税费及不可预见费均由乙方承担。</w:t>
      </w:r>
    </w:p>
    <w:p>
      <w:pPr>
        <w:pStyle w:val="140"/>
        <w:numPr>
          <w:ilvl w:val="1"/>
          <w:numId w:val="64"/>
        </w:numPr>
        <w:spacing w:line="360" w:lineRule="auto"/>
        <w:rPr>
          <w:rFonts w:eastAsiaTheme="minorEastAsia"/>
          <w:bCs/>
          <w:color w:val="auto"/>
          <w:highlight w:val="none"/>
        </w:rPr>
      </w:pPr>
      <w:r>
        <w:rPr>
          <w:rFonts w:eastAsiaTheme="minorEastAsia"/>
          <w:bCs/>
          <w:color w:val="auto"/>
          <w:highlight w:val="none"/>
        </w:rPr>
        <w:t>乙方依照税务规章优先在合同履约地开具发票及纳税，咨询：0757-12366。</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十三、</w:t>
      </w:r>
      <w:r>
        <w:rPr>
          <w:rFonts w:eastAsiaTheme="minorEastAsia"/>
          <w:b/>
          <w:bCs/>
          <w:color w:val="auto"/>
          <w:highlight w:val="none"/>
        </w:rPr>
        <w:t>合同生效：</w:t>
      </w:r>
    </w:p>
    <w:p>
      <w:pPr>
        <w:pStyle w:val="140"/>
        <w:numPr>
          <w:ilvl w:val="255"/>
          <w:numId w:val="0"/>
        </w:numPr>
        <w:spacing w:line="360" w:lineRule="auto"/>
        <w:ind w:firstLine="480" w:firstLineChars="200"/>
        <w:rPr>
          <w:rFonts w:eastAsiaTheme="minorEastAsia"/>
          <w:bCs/>
          <w:color w:val="auto"/>
          <w:highlight w:val="none"/>
        </w:rPr>
      </w:pPr>
      <w:r>
        <w:rPr>
          <w:rFonts w:eastAsiaTheme="minorEastAsia"/>
          <w:bCs/>
          <w:color w:val="auto"/>
          <w:highlight w:val="none"/>
        </w:rPr>
        <w:t>本合同在甲乙双方法人代表或其授权代表签字盖章后生效。</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十四、</w:t>
      </w:r>
      <w:r>
        <w:rPr>
          <w:rFonts w:eastAsiaTheme="minorEastAsia"/>
          <w:b/>
          <w:bCs/>
          <w:color w:val="auto"/>
          <w:highlight w:val="none"/>
        </w:rPr>
        <w:t>乙方应提供的资料内容：</w:t>
      </w:r>
    </w:p>
    <w:p>
      <w:pPr>
        <w:pStyle w:val="137"/>
        <w:spacing w:line="360" w:lineRule="auto"/>
        <w:ind w:left="510"/>
        <w:rPr>
          <w:rFonts w:eastAsiaTheme="minorEastAsia"/>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有：</w:t>
      </w:r>
      <w:r>
        <w:rPr>
          <w:rFonts w:eastAsiaTheme="minorEastAsia"/>
          <w:color w:val="auto"/>
          <w:highlight w:val="none"/>
        </w:rPr>
        <w:t>。</w:t>
      </w:r>
    </w:p>
    <w:p>
      <w:pPr>
        <w:pStyle w:val="140"/>
        <w:spacing w:line="360" w:lineRule="auto"/>
        <w:ind w:left="510"/>
        <w:rPr>
          <w:rFonts w:eastAsiaTheme="minorEastAsia"/>
          <w:bCs/>
          <w:color w:val="auto"/>
          <w:highlight w:val="none"/>
        </w:rPr>
      </w:pPr>
      <w:r>
        <w:rPr>
          <w:rFonts w:eastAsiaTheme="minorEastAsia"/>
          <w:color w:val="auto"/>
          <w:highlight w:val="none"/>
          <w:u w:val="single"/>
        </w:rPr>
        <w:sym w:font="Wingdings 2" w:char="00A3"/>
      </w:r>
      <w:r>
        <w:rPr>
          <w:rFonts w:hint="eastAsia" w:eastAsiaTheme="minorEastAsia"/>
          <w:color w:val="auto"/>
          <w:highlight w:val="none"/>
          <w:u w:val="single"/>
        </w:rPr>
        <w:t>无。</w:t>
      </w:r>
    </w:p>
    <w:p>
      <w:pPr>
        <w:pStyle w:val="140"/>
        <w:numPr>
          <w:ilvl w:val="-1"/>
          <w:numId w:val="0"/>
        </w:numPr>
        <w:spacing w:line="360" w:lineRule="auto"/>
        <w:ind w:left="0" w:firstLine="0"/>
        <w:rPr>
          <w:rFonts w:eastAsiaTheme="minorEastAsia"/>
          <w:b/>
          <w:bCs/>
          <w:color w:val="auto"/>
          <w:highlight w:val="none"/>
        </w:rPr>
      </w:pPr>
      <w:r>
        <w:rPr>
          <w:rFonts w:hint="eastAsia" w:eastAsiaTheme="minorEastAsia"/>
          <w:b/>
          <w:bCs/>
          <w:color w:val="auto"/>
          <w:highlight w:val="none"/>
          <w:lang w:val="en-US" w:eastAsia="zh-CN"/>
        </w:rPr>
        <w:t>十五、</w:t>
      </w:r>
      <w:r>
        <w:rPr>
          <w:rFonts w:eastAsiaTheme="minorEastAsia"/>
          <w:b/>
          <w:bCs/>
          <w:color w:val="auto"/>
          <w:highlight w:val="none"/>
        </w:rPr>
        <w:t>其它：</w:t>
      </w:r>
    </w:p>
    <w:p>
      <w:pPr>
        <w:pStyle w:val="137"/>
        <w:numPr>
          <w:ilvl w:val="1"/>
          <w:numId w:val="65"/>
        </w:numPr>
        <w:spacing w:line="360" w:lineRule="auto"/>
        <w:rPr>
          <w:rFonts w:eastAsiaTheme="minorEastAsia"/>
          <w:color w:val="auto"/>
          <w:highlight w:val="none"/>
        </w:rPr>
      </w:pPr>
      <w:r>
        <w:rPr>
          <w:rFonts w:eastAsiaTheme="minorEastAsia"/>
          <w:color w:val="auto"/>
          <w:highlight w:val="none"/>
        </w:rPr>
        <w:t>所有经一方或双方签署确认的文件（包括会议纪要、补充协议、往来信函）、采购文件、要约文件</w:t>
      </w:r>
      <w:r>
        <w:rPr>
          <w:rFonts w:hint="eastAsia" w:eastAsiaTheme="minorEastAsia"/>
          <w:color w:val="auto"/>
          <w:highlight w:val="none"/>
        </w:rPr>
        <w:t>和投标/</w:t>
      </w:r>
      <w:r>
        <w:rPr>
          <w:rFonts w:eastAsiaTheme="minorEastAsia"/>
          <w:color w:val="auto"/>
          <w:highlight w:val="none"/>
        </w:rPr>
        <w:t>响应承诺文件、合同附件及中标（成交）通知书均为本合同不可分割的有效组成部分，与本合同具有同等的法律效力和履约义务，其缔约生效日期为有效签署或盖章确认之日期。</w:t>
      </w:r>
    </w:p>
    <w:p>
      <w:pPr>
        <w:pStyle w:val="137"/>
        <w:numPr>
          <w:ilvl w:val="1"/>
          <w:numId w:val="65"/>
        </w:numPr>
        <w:spacing w:line="360" w:lineRule="auto"/>
        <w:rPr>
          <w:rFonts w:eastAsiaTheme="minorEastAsia"/>
          <w:color w:val="auto"/>
          <w:highlight w:val="none"/>
        </w:rPr>
      </w:pPr>
      <w:r>
        <w:rPr>
          <w:rFonts w:eastAsiaTheme="minorEastAsia"/>
          <w:color w:val="auto"/>
          <w:highlight w:val="none"/>
        </w:rPr>
        <w:t>如一方（包括联系人）地址、电话、传真号码有变更，应在变更后3个工作日内书面通知对方联系人或负责人，否则，因此造成的损失由未履行通知义务方承担相应责任。</w:t>
      </w:r>
    </w:p>
    <w:p>
      <w:pPr>
        <w:pStyle w:val="137"/>
        <w:numPr>
          <w:ilvl w:val="1"/>
          <w:numId w:val="65"/>
        </w:numPr>
        <w:spacing w:line="360" w:lineRule="auto"/>
        <w:rPr>
          <w:rFonts w:eastAsiaTheme="minorEastAsia"/>
          <w:color w:val="auto"/>
          <w:highlight w:val="none"/>
        </w:rPr>
      </w:pPr>
      <w:r>
        <w:rPr>
          <w:rFonts w:eastAsiaTheme="minorEastAsia"/>
          <w:color w:val="auto"/>
          <w:highlight w:val="none"/>
        </w:rPr>
        <w:t>未经甲方书面同意，乙方不得擅自向第三方转让其主体性和关键性合同义务。</w:t>
      </w:r>
    </w:p>
    <w:p>
      <w:pPr>
        <w:pStyle w:val="137"/>
        <w:numPr>
          <w:ilvl w:val="1"/>
          <w:numId w:val="65"/>
        </w:numPr>
        <w:spacing w:line="360" w:lineRule="auto"/>
        <w:rPr>
          <w:rFonts w:eastAsiaTheme="minorEastAsia"/>
          <w:color w:val="auto"/>
          <w:highlight w:val="none"/>
        </w:rPr>
      </w:pPr>
      <w:r>
        <w:rPr>
          <w:rFonts w:eastAsiaTheme="minorEastAsia"/>
          <w:bCs/>
          <w:color w:val="auto"/>
          <w:highlight w:val="none"/>
        </w:rPr>
        <w:t>本合同一式份，甲方执份，乙方执份。</w:t>
      </w:r>
    </w:p>
    <w:p>
      <w:pPr>
        <w:pStyle w:val="137"/>
        <w:numPr>
          <w:ilvl w:val="1"/>
          <w:numId w:val="65"/>
        </w:numPr>
        <w:spacing w:line="360" w:lineRule="auto"/>
        <w:rPr>
          <w:rFonts w:eastAsiaTheme="minorEastAsia"/>
          <w:color w:val="auto"/>
          <w:highlight w:val="none"/>
        </w:rPr>
      </w:pPr>
      <w:r>
        <w:rPr>
          <w:rFonts w:eastAsiaTheme="minorEastAsia"/>
          <w:bCs/>
          <w:color w:val="auto"/>
          <w:highlight w:val="none"/>
        </w:rPr>
        <w:t>本合同（含附件）共计页，缺页之合同为无效合同。</w:t>
      </w:r>
    </w:p>
    <w:p>
      <w:pPr>
        <w:pStyle w:val="137"/>
        <w:numPr>
          <w:ilvl w:val="1"/>
          <w:numId w:val="65"/>
        </w:numPr>
        <w:spacing w:line="360" w:lineRule="auto"/>
        <w:rPr>
          <w:rFonts w:eastAsiaTheme="minorEastAsia"/>
          <w:color w:val="auto"/>
          <w:highlight w:val="none"/>
        </w:rPr>
      </w:pPr>
      <w:r>
        <w:rPr>
          <w:rFonts w:eastAsiaTheme="minorEastAsia"/>
          <w:color w:val="auto"/>
          <w:highlight w:val="none"/>
        </w:rPr>
        <w:t>本合同签约履约地点：广东省佛山市。</w:t>
      </w:r>
    </w:p>
    <w:p>
      <w:pPr>
        <w:pStyle w:val="137"/>
        <w:numPr>
          <w:ilvl w:val="1"/>
          <w:numId w:val="65"/>
        </w:numPr>
        <w:spacing w:line="360" w:lineRule="auto"/>
        <w:rPr>
          <w:rFonts w:eastAsiaTheme="minorEastAsia"/>
          <w:color w:val="auto"/>
          <w:highlight w:val="none"/>
        </w:rPr>
      </w:pPr>
      <w:r>
        <w:rPr>
          <w:rFonts w:eastAsiaTheme="minorEastAsia"/>
          <w:color w:val="auto"/>
          <w:highlight w:val="none"/>
        </w:rPr>
        <w:t>本合同所指“书面通知”包括但不限于短信、电子邮件等数据电文的通知形式，到达时间以民事诉讼法的规定为准，但进行书面通知前后，通知方均有义务电话确认通知事项。</w:t>
      </w:r>
    </w:p>
    <w:p>
      <w:pPr>
        <w:pStyle w:val="137"/>
        <w:numPr>
          <w:ilvl w:val="1"/>
          <w:numId w:val="65"/>
        </w:numPr>
        <w:spacing w:line="360" w:lineRule="auto"/>
        <w:rPr>
          <w:rFonts w:ascii="宋体" w:hAnsi="宋体" w:eastAsia="宋体"/>
          <w:color w:val="auto"/>
          <w:highlight w:val="none"/>
        </w:rPr>
      </w:pPr>
      <w:r>
        <w:rPr>
          <w:rFonts w:eastAsiaTheme="minorEastAsia"/>
          <w:color w:val="auto"/>
          <w:highlight w:val="none"/>
        </w:rPr>
        <w:t>双方均已对以上各条款及附件作充分了解，并明确理解由此而产生的相关权责。</w:t>
      </w:r>
    </w:p>
    <w:p>
      <w:pPr>
        <w:pStyle w:val="140"/>
        <w:shd w:val="clear" w:color="auto" w:fill="auto"/>
        <w:spacing w:line="360" w:lineRule="auto"/>
        <w:rPr>
          <w:rFonts w:ascii="宋体" w:hAnsi="宋体"/>
          <w:color w:val="auto"/>
          <w:highlight w:val="none"/>
          <w:shd w:val="clear" w:color="auto" w:fill="auto"/>
        </w:rPr>
      </w:pPr>
    </w:p>
    <w:tbl>
      <w:tblPr>
        <w:tblStyle w:val="31"/>
        <w:tblW w:w="0" w:type="auto"/>
        <w:tblInd w:w="-72" w:type="dxa"/>
        <w:tblLayout w:type="fixed"/>
        <w:tblCellMar>
          <w:top w:w="0" w:type="dxa"/>
          <w:left w:w="108" w:type="dxa"/>
          <w:bottom w:w="0" w:type="dxa"/>
          <w:right w:w="108" w:type="dxa"/>
        </w:tblCellMar>
      </w:tblPr>
      <w:tblGrid>
        <w:gridCol w:w="4836"/>
        <w:gridCol w:w="4524"/>
        <w:gridCol w:w="176"/>
      </w:tblGrid>
      <w:tr>
        <w:tblPrEx>
          <w:tblCellMar>
            <w:top w:w="0" w:type="dxa"/>
            <w:left w:w="108" w:type="dxa"/>
            <w:bottom w:w="0" w:type="dxa"/>
            <w:right w:w="108" w:type="dxa"/>
          </w:tblCellMar>
        </w:tblPrEx>
        <w:trPr>
          <w:gridAfter w:val="1"/>
          <w:wAfter w:w="176" w:type="dxa"/>
          <w:trHeight w:val="2244" w:hRule="atLeast"/>
        </w:trPr>
        <w:tc>
          <w:tcPr>
            <w:tcW w:w="4836" w:type="dxa"/>
            <w:tcBorders>
              <w:top w:val="nil"/>
              <w:left w:val="nil"/>
              <w:bottom w:val="nil"/>
              <w:right w:val="dotDotDash" w:color="auto" w:sz="4" w:space="0"/>
            </w:tcBorders>
            <w:noWrap w:val="0"/>
            <w:vAlign w:val="top"/>
          </w:tcPr>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甲方（盖章）：</w:t>
            </w:r>
          </w:p>
          <w:p>
            <w:pPr>
              <w:pStyle w:val="140"/>
              <w:shd w:val="clear" w:color="auto" w:fill="auto"/>
              <w:spacing w:line="360" w:lineRule="auto"/>
              <w:rPr>
                <w:rFonts w:ascii="宋体" w:hAnsi="宋体"/>
                <w:color w:val="auto"/>
                <w:sz w:val="21"/>
                <w:szCs w:val="21"/>
                <w:highlight w:val="none"/>
                <w:u w:val="dotted"/>
                <w:shd w:val="clear" w:color="auto" w:fill="auto"/>
              </w:rPr>
            </w:pPr>
            <w:r>
              <w:rPr>
                <w:rFonts w:hint="eastAsia" w:ascii="宋体" w:hAnsi="宋体"/>
                <w:color w:val="auto"/>
                <w:sz w:val="21"/>
                <w:szCs w:val="21"/>
                <w:highlight w:val="none"/>
                <w:shd w:val="clear" w:color="auto" w:fill="auto"/>
              </w:rPr>
              <w:t>代表：</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地址：</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电话：</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传真：</w:t>
            </w:r>
          </w:p>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color w:val="auto"/>
                <w:sz w:val="21"/>
                <w:szCs w:val="21"/>
                <w:highlight w:val="none"/>
                <w:shd w:val="clear" w:color="auto" w:fill="auto"/>
              </w:rPr>
              <w:t>日期：年月日</w:t>
            </w:r>
          </w:p>
        </w:tc>
        <w:tc>
          <w:tcPr>
            <w:tcW w:w="4524" w:type="dxa"/>
            <w:tcBorders>
              <w:top w:val="nil"/>
              <w:left w:val="dotDotDash" w:color="auto" w:sz="4" w:space="0"/>
              <w:bottom w:val="nil"/>
              <w:right w:val="nil"/>
            </w:tcBorders>
            <w:noWrap w:val="0"/>
            <w:vAlign w:val="top"/>
          </w:tcPr>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乙方（盖章）：</w:t>
            </w:r>
          </w:p>
          <w:p>
            <w:pPr>
              <w:pStyle w:val="140"/>
              <w:shd w:val="clear" w:color="auto" w:fill="auto"/>
              <w:spacing w:line="360" w:lineRule="auto"/>
              <w:rPr>
                <w:rFonts w:ascii="宋体" w:hAnsi="宋体"/>
                <w:color w:val="auto"/>
                <w:sz w:val="21"/>
                <w:szCs w:val="21"/>
                <w:highlight w:val="none"/>
                <w:u w:val="dotted"/>
                <w:shd w:val="clear" w:color="auto" w:fill="auto"/>
              </w:rPr>
            </w:pPr>
            <w:r>
              <w:rPr>
                <w:rFonts w:hint="eastAsia" w:ascii="宋体" w:hAnsi="宋体"/>
                <w:color w:val="auto"/>
                <w:sz w:val="21"/>
                <w:szCs w:val="21"/>
                <w:highlight w:val="none"/>
                <w:shd w:val="clear" w:color="auto" w:fill="auto"/>
              </w:rPr>
              <w:t>代表：</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地址：</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电话：</w:t>
            </w:r>
          </w:p>
          <w:p>
            <w:pPr>
              <w:pStyle w:val="140"/>
              <w:shd w:val="clear" w:color="auto" w:fill="auto"/>
              <w:spacing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传真：</w:t>
            </w:r>
          </w:p>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color w:val="auto"/>
                <w:sz w:val="21"/>
                <w:szCs w:val="21"/>
                <w:highlight w:val="none"/>
                <w:shd w:val="clear" w:color="auto" w:fill="auto"/>
              </w:rPr>
              <w:t>日期：年月日</w:t>
            </w:r>
          </w:p>
        </w:tc>
      </w:tr>
      <w:tr>
        <w:tblPrEx>
          <w:tblCellMar>
            <w:top w:w="0" w:type="dxa"/>
            <w:left w:w="108" w:type="dxa"/>
            <w:bottom w:w="0" w:type="dxa"/>
            <w:right w:w="108" w:type="dxa"/>
          </w:tblCellMar>
        </w:tblPrEx>
        <w:trPr>
          <w:trHeight w:val="1781" w:hRule="atLeast"/>
        </w:trPr>
        <w:tc>
          <w:tcPr>
            <w:tcW w:w="4836" w:type="dxa"/>
            <w:tcBorders>
              <w:top w:val="nil"/>
              <w:left w:val="nil"/>
              <w:bottom w:val="single" w:color="FFFFFF" w:sz="4" w:space="0"/>
              <w:right w:val="dotDotDash" w:color="auto" w:sz="4" w:space="0"/>
            </w:tcBorders>
            <w:noWrap w:val="0"/>
            <w:vAlign w:val="top"/>
          </w:tcPr>
          <w:p>
            <w:pPr>
              <w:pStyle w:val="152"/>
              <w:shd w:val="clear" w:color="auto" w:fill="auto"/>
              <w:spacing w:line="360" w:lineRule="auto"/>
              <w:rPr>
                <w:rFonts w:ascii="宋体" w:hAnsi="宋体"/>
                <w:b/>
                <w:bCs/>
                <w:color w:val="auto"/>
                <w:szCs w:val="21"/>
                <w:highlight w:val="none"/>
                <w:shd w:val="clear" w:color="auto" w:fill="auto"/>
              </w:rPr>
            </w:pPr>
          </w:p>
          <w:p>
            <w:pPr>
              <w:pStyle w:val="152"/>
              <w:shd w:val="clear" w:color="auto" w:fill="auto"/>
              <w:spacing w:line="360" w:lineRule="auto"/>
              <w:rPr>
                <w:rFonts w:ascii="宋体" w:hAnsi="宋体"/>
                <w:b/>
                <w:color w:val="auto"/>
                <w:szCs w:val="21"/>
                <w:highlight w:val="none"/>
                <w:shd w:val="clear" w:color="auto" w:fill="auto"/>
              </w:rPr>
            </w:pPr>
          </w:p>
        </w:tc>
        <w:tc>
          <w:tcPr>
            <w:tcW w:w="4700" w:type="dxa"/>
            <w:gridSpan w:val="2"/>
            <w:tcBorders>
              <w:top w:val="nil"/>
              <w:left w:val="dotDotDash" w:color="auto" w:sz="4" w:space="0"/>
              <w:bottom w:val="single" w:color="FFFFFF" w:sz="4" w:space="0"/>
              <w:right w:val="nil"/>
            </w:tcBorders>
            <w:noWrap w:val="0"/>
            <w:vAlign w:val="top"/>
          </w:tcPr>
          <w:p>
            <w:pPr>
              <w:pStyle w:val="140"/>
              <w:shd w:val="clear" w:color="auto" w:fill="auto"/>
              <w:spacing w:line="360" w:lineRule="auto"/>
              <w:rPr>
                <w:rFonts w:ascii="宋体" w:hAnsi="宋体"/>
                <w:color w:val="auto"/>
                <w:sz w:val="21"/>
                <w:szCs w:val="21"/>
                <w:highlight w:val="none"/>
                <w:shd w:val="clear" w:color="auto" w:fill="auto"/>
              </w:rPr>
            </w:pPr>
          </w:p>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收款方、开票方须与乙方一致，专户为：</w:t>
            </w:r>
          </w:p>
          <w:p>
            <w:pPr>
              <w:pStyle w:val="140"/>
              <w:shd w:val="clear" w:color="auto" w:fill="auto"/>
              <w:spacing w:line="360" w:lineRule="auto"/>
              <w:rPr>
                <w:rFonts w:ascii="宋体" w:hAnsi="宋体"/>
                <w:b/>
                <w:bCs/>
                <w:color w:val="auto"/>
                <w:sz w:val="21"/>
                <w:szCs w:val="21"/>
                <w:highlight w:val="none"/>
                <w:shd w:val="clear" w:color="auto" w:fill="auto"/>
              </w:rPr>
            </w:pPr>
            <w:r>
              <w:rPr>
                <w:rFonts w:hint="eastAsia" w:ascii="宋体" w:hAnsi="宋体"/>
                <w:color w:val="auto"/>
                <w:sz w:val="21"/>
                <w:szCs w:val="21"/>
                <w:highlight w:val="none"/>
                <w:shd w:val="clear" w:color="auto" w:fill="auto"/>
              </w:rPr>
              <w:t>开户名称：</w:t>
            </w:r>
          </w:p>
          <w:p>
            <w:pPr>
              <w:pStyle w:val="140"/>
              <w:shd w:val="clear" w:color="auto" w:fill="auto"/>
              <w:spacing w:line="360" w:lineRule="auto"/>
              <w:rPr>
                <w:rFonts w:ascii="宋体" w:hAnsi="宋体"/>
                <w:b/>
                <w:bCs/>
                <w:color w:val="auto"/>
                <w:sz w:val="21"/>
                <w:szCs w:val="21"/>
                <w:highlight w:val="none"/>
                <w:shd w:val="clear" w:color="auto" w:fill="auto"/>
              </w:rPr>
            </w:pPr>
            <w:r>
              <w:rPr>
                <w:rFonts w:hint="eastAsia" w:ascii="宋体" w:hAnsi="宋体"/>
                <w:color w:val="auto"/>
                <w:sz w:val="21"/>
                <w:szCs w:val="21"/>
                <w:highlight w:val="none"/>
                <w:shd w:val="clear" w:color="auto" w:fill="auto"/>
              </w:rPr>
              <w:t>银行账号：</w:t>
            </w:r>
          </w:p>
          <w:p>
            <w:pPr>
              <w:pStyle w:val="140"/>
              <w:shd w:val="clear" w:color="auto" w:fill="auto"/>
              <w:spacing w:line="360" w:lineRule="auto"/>
              <w:rPr>
                <w:rFonts w:ascii="宋体" w:hAnsi="宋体"/>
                <w:b/>
                <w:color w:val="auto"/>
                <w:sz w:val="21"/>
                <w:szCs w:val="21"/>
                <w:highlight w:val="none"/>
                <w:shd w:val="clear" w:color="auto" w:fill="auto"/>
              </w:rPr>
            </w:pPr>
            <w:r>
              <w:rPr>
                <w:rFonts w:hint="eastAsia" w:ascii="宋体" w:hAnsi="宋体"/>
                <w:color w:val="auto"/>
                <w:sz w:val="21"/>
                <w:szCs w:val="21"/>
                <w:highlight w:val="none"/>
                <w:shd w:val="clear" w:color="auto" w:fill="auto"/>
              </w:rPr>
              <w:t>开户行：</w:t>
            </w:r>
          </w:p>
        </w:tc>
      </w:tr>
    </w:tbl>
    <w:p>
      <w:pPr>
        <w:pStyle w:val="138"/>
        <w:spacing w:line="360" w:lineRule="auto"/>
        <w:rPr>
          <w:rFonts w:ascii="Times New Roman" w:hAnsi="Times New Roman"/>
          <w:b/>
          <w:color w:val="auto"/>
          <w:highlight w:val="none"/>
        </w:rPr>
      </w:pPr>
    </w:p>
    <w:p>
      <w:pPr>
        <w:pStyle w:val="138"/>
        <w:spacing w:line="360" w:lineRule="auto"/>
        <w:rPr>
          <w:rFonts w:ascii="Times New Roman" w:hAnsi="Times New Roman"/>
          <w:color w:val="auto"/>
          <w:sz w:val="24"/>
          <w:szCs w:val="24"/>
          <w:highlight w:val="none"/>
        </w:rPr>
      </w:pPr>
      <w:r>
        <w:rPr>
          <w:rFonts w:hint="eastAsia" w:ascii="Times New Roman" w:hAnsi="Times New Roman"/>
          <w:b/>
          <w:color w:val="auto"/>
          <w:sz w:val="24"/>
          <w:szCs w:val="24"/>
          <w:highlight w:val="none"/>
        </w:rPr>
        <w:t>合同附件清单：</w:t>
      </w:r>
    </w:p>
    <w:p>
      <w:pPr>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附件一：《报价清单明细表》</w:t>
      </w:r>
    </w:p>
    <w:p>
      <w:pPr>
        <w:rPr>
          <w:rFonts w:hint="eastAsia"/>
          <w:b/>
          <w:color w:val="auto"/>
          <w:highlight w:val="none"/>
        </w:rPr>
      </w:pPr>
      <w:r>
        <w:rPr>
          <w:rFonts w:hint="eastAsia"/>
          <w:b/>
          <w:color w:val="auto"/>
          <w:highlight w:val="none"/>
        </w:rPr>
        <w:br w:type="page"/>
      </w:r>
    </w:p>
    <w:p>
      <w:pPr>
        <w:rPr>
          <w:rFonts w:hint="eastAsia"/>
          <w:color w:val="auto"/>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p>
    <w:p>
      <w:pPr>
        <w:pStyle w:val="3"/>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第五部分  响应文件格式</w:t>
      </w:r>
      <w:bookmarkEnd w:id="118"/>
      <w:bookmarkEnd w:id="119"/>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r>
        <w:rPr>
          <w:rFonts w:hint="eastAsia" w:ascii="宋体" w:hAnsi="宋体" w:cs="宋体"/>
          <w:b/>
          <w:color w:val="auto"/>
          <w:szCs w:val="24"/>
          <w:highlight w:val="none"/>
        </w:rPr>
        <w:t>响应文件封面格式参考（</w:t>
      </w:r>
      <w:r>
        <w:rPr>
          <w:rFonts w:hint="eastAsia" w:ascii="宋体" w:hAnsi="宋体" w:cs="宋体"/>
          <w:color w:val="auto"/>
          <w:szCs w:val="24"/>
          <w:highlight w:val="none"/>
        </w:rPr>
        <w:t>供应商可自行设计编制响应文件的封面，封面上须包含但不限于以下内容，并在名称处加盖公章，及注明“正本”或“副本”字样）</w:t>
      </w:r>
      <w:r>
        <w:rPr>
          <w:rFonts w:hint="eastAsia" w:ascii="宋体" w:hAnsi="宋体" w:cs="宋体"/>
          <w:b/>
          <w:color w:val="auto"/>
          <w:szCs w:val="24"/>
          <w:highlight w:val="none"/>
        </w:rPr>
        <w:t>：</w:t>
      </w:r>
    </w:p>
    <w:p>
      <w:pPr>
        <w:spacing w:line="360" w:lineRule="auto"/>
        <w:jc w:val="center"/>
        <w:outlineLvl w:val="0"/>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佛山市公安局禅城分局</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jc w:val="center"/>
        <w:outlineLvl w:val="0"/>
        <w:rPr>
          <w:rFonts w:ascii="宋体" w:hAnsi="宋体" w:cs="宋体"/>
          <w:b/>
          <w:color w:val="auto"/>
          <w:sz w:val="56"/>
          <w:szCs w:val="56"/>
          <w:highlight w:val="none"/>
        </w:rPr>
      </w:pPr>
      <w:bookmarkStart w:id="121" w:name="_Toc26854"/>
      <w:bookmarkStart w:id="122" w:name="_Toc30348"/>
      <w:r>
        <w:rPr>
          <w:rFonts w:hint="eastAsia" w:ascii="宋体" w:hAnsi="宋体" w:cs="宋体"/>
          <w:b/>
          <w:color w:val="auto"/>
          <w:sz w:val="56"/>
          <w:szCs w:val="56"/>
          <w:highlight w:val="none"/>
        </w:rPr>
        <w:t>响 应 文 件</w:t>
      </w:r>
      <w:bookmarkEnd w:id="121"/>
      <w:bookmarkEnd w:id="122"/>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jc w:val="center"/>
        <w:outlineLvl w:val="0"/>
        <w:rPr>
          <w:rFonts w:ascii="宋体" w:hAnsi="宋体" w:cs="宋体"/>
          <w:b/>
          <w:color w:val="auto"/>
          <w:sz w:val="44"/>
          <w:szCs w:val="44"/>
          <w:highlight w:val="none"/>
        </w:rPr>
      </w:pPr>
      <w:bookmarkStart w:id="123" w:name="_Toc31747"/>
      <w:bookmarkStart w:id="124" w:name="_Toc15543"/>
      <w:r>
        <w:rPr>
          <w:rFonts w:hint="eastAsia" w:ascii="宋体" w:hAnsi="宋体" w:cs="宋体"/>
          <w:b/>
          <w:color w:val="auto"/>
          <w:sz w:val="44"/>
          <w:szCs w:val="44"/>
          <w:highlight w:val="none"/>
        </w:rPr>
        <w:t>（正本/副本）</w:t>
      </w:r>
      <w:bookmarkEnd w:id="123"/>
      <w:bookmarkEnd w:id="124"/>
    </w:p>
    <w:p>
      <w:pPr>
        <w:spacing w:line="360" w:lineRule="auto"/>
        <w:rPr>
          <w:rFonts w:ascii="宋体" w:hAnsi="宋体" w:cs="宋体"/>
          <w:b/>
          <w:bCs/>
          <w:color w:val="auto"/>
          <w:szCs w:val="24"/>
          <w:highlight w:val="none"/>
        </w:rPr>
      </w:pPr>
    </w:p>
    <w:p>
      <w:pPr>
        <w:spacing w:line="360" w:lineRule="auto"/>
        <w:rPr>
          <w:rFonts w:ascii="宋体" w:hAnsi="宋体" w:cs="宋体"/>
          <w:b/>
          <w:bCs/>
          <w:color w:val="auto"/>
          <w:szCs w:val="24"/>
          <w:highlight w:val="none"/>
        </w:rPr>
      </w:pPr>
    </w:p>
    <w:p>
      <w:pPr>
        <w:pStyle w:val="49"/>
        <w:spacing w:line="360" w:lineRule="auto"/>
        <w:rPr>
          <w:rFonts w:hint="default" w:cs="宋体"/>
          <w:b/>
          <w:bCs/>
          <w:color w:val="auto"/>
          <w:szCs w:val="24"/>
          <w:highlight w:val="none"/>
        </w:rPr>
      </w:pPr>
    </w:p>
    <w:p>
      <w:pPr>
        <w:pStyle w:val="49"/>
        <w:spacing w:line="360" w:lineRule="auto"/>
        <w:rPr>
          <w:rFonts w:hint="default" w:cs="宋体"/>
          <w:b/>
          <w:bCs/>
          <w:color w:val="auto"/>
          <w:szCs w:val="24"/>
          <w:highlight w:val="none"/>
        </w:rPr>
      </w:pPr>
    </w:p>
    <w:p>
      <w:pPr>
        <w:pStyle w:val="49"/>
        <w:spacing w:line="360" w:lineRule="auto"/>
        <w:rPr>
          <w:rFonts w:hint="default" w:cs="宋体"/>
          <w:b/>
          <w:bCs/>
          <w:color w:val="auto"/>
          <w:szCs w:val="24"/>
          <w:highlight w:val="none"/>
        </w:rPr>
      </w:pPr>
    </w:p>
    <w:p>
      <w:pPr>
        <w:pStyle w:val="49"/>
        <w:spacing w:line="360" w:lineRule="auto"/>
        <w:rPr>
          <w:rFonts w:hint="default" w:cs="宋体"/>
          <w:b/>
          <w:bCs/>
          <w:color w:val="auto"/>
          <w:szCs w:val="24"/>
          <w:highlight w:val="none"/>
        </w:rPr>
      </w:pPr>
    </w:p>
    <w:p>
      <w:pPr>
        <w:pStyle w:val="49"/>
        <w:spacing w:line="360" w:lineRule="auto"/>
        <w:rPr>
          <w:rFonts w:hint="default" w:cs="宋体"/>
          <w:b/>
          <w:bCs/>
          <w:color w:val="auto"/>
          <w:szCs w:val="24"/>
          <w:highlight w:val="none"/>
        </w:rPr>
      </w:pPr>
    </w:p>
    <w:p>
      <w:pPr>
        <w:pStyle w:val="49"/>
        <w:spacing w:line="360" w:lineRule="auto"/>
        <w:rPr>
          <w:rFonts w:hint="default" w:cs="宋体"/>
          <w:b/>
          <w:bCs/>
          <w:color w:val="auto"/>
          <w:szCs w:val="24"/>
          <w:highlight w:val="none"/>
        </w:rPr>
      </w:pPr>
    </w:p>
    <w:p>
      <w:pPr>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rPr>
        <w:t>采购项目编号：</w:t>
      </w:r>
      <w:r>
        <w:rPr>
          <w:rFonts w:hint="eastAsia" w:ascii="宋体" w:hAnsi="宋体" w:cs="宋体"/>
          <w:b/>
          <w:bCs/>
          <w:color w:val="auto"/>
          <w:szCs w:val="24"/>
          <w:highlight w:val="none"/>
          <w:lang w:eastAsia="zh-CN"/>
        </w:rPr>
        <w:t>HRC23FSCS1001</w:t>
      </w:r>
    </w:p>
    <w:p>
      <w:pPr>
        <w:spacing w:line="360" w:lineRule="auto"/>
        <w:jc w:val="center"/>
        <w:rPr>
          <w:rFonts w:ascii="宋体" w:hAnsi="宋体" w:cs="宋体"/>
          <w:color w:val="auto"/>
          <w:sz w:val="22"/>
          <w:highlight w:val="none"/>
        </w:rPr>
      </w:pPr>
      <w:r>
        <w:rPr>
          <w:rFonts w:hint="eastAsia" w:ascii="宋体" w:hAnsi="宋体" w:cs="宋体"/>
          <w:b/>
          <w:bCs/>
          <w:color w:val="auto"/>
          <w:szCs w:val="24"/>
          <w:highlight w:val="none"/>
        </w:rPr>
        <w:t>采购项目名称：</w:t>
      </w:r>
      <w:r>
        <w:rPr>
          <w:rFonts w:hint="eastAsia" w:ascii="宋体" w:hAnsi="宋体" w:cs="宋体"/>
          <w:b/>
          <w:color w:val="auto"/>
          <w:szCs w:val="24"/>
          <w:highlight w:val="none"/>
          <w:lang w:eastAsia="zh-CN"/>
        </w:rPr>
        <w:t>佛山市公安局禅城分局2024年度车辆保险项目</w:t>
      </w:r>
    </w:p>
    <w:p>
      <w:pPr>
        <w:pStyle w:val="49"/>
        <w:spacing w:line="360" w:lineRule="auto"/>
        <w:rPr>
          <w:rFonts w:hint="default" w:cs="宋体"/>
          <w:color w:val="auto"/>
          <w:highlight w:val="none"/>
        </w:rPr>
      </w:pPr>
    </w:p>
    <w:p>
      <w:pPr>
        <w:spacing w:line="360" w:lineRule="auto"/>
        <w:rPr>
          <w:rFonts w:ascii="宋体" w:hAnsi="宋体" w:cs="宋体"/>
          <w:color w:val="auto"/>
          <w:szCs w:val="24"/>
          <w:highlight w:val="none"/>
        </w:rPr>
      </w:pPr>
    </w:p>
    <w:p>
      <w:pPr>
        <w:pStyle w:val="49"/>
        <w:spacing w:line="360" w:lineRule="auto"/>
        <w:rPr>
          <w:rFonts w:hint="default" w:cs="宋体"/>
          <w:color w:val="auto"/>
          <w:sz w:val="22"/>
          <w:szCs w:val="20"/>
          <w:highlight w:val="none"/>
        </w:rPr>
      </w:pP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供应商名称：</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日  期：    年    月    日</w:t>
      </w:r>
    </w:p>
    <w:p>
      <w:pPr>
        <w:spacing w:line="360" w:lineRule="auto"/>
        <w:rPr>
          <w:rFonts w:ascii="宋体" w:hAnsi="宋体" w:cs="宋体"/>
          <w:color w:val="auto"/>
          <w:szCs w:val="24"/>
          <w:highlight w:val="none"/>
        </w:rPr>
      </w:pPr>
    </w:p>
    <w:p>
      <w:pPr>
        <w:tabs>
          <w:tab w:val="left" w:pos="720"/>
        </w:tabs>
        <w:spacing w:after="120" w:afterLines="50" w:line="360" w:lineRule="auto"/>
        <w:ind w:left="181"/>
        <w:jc w:val="center"/>
        <w:rPr>
          <w:rFonts w:ascii="宋体" w:hAnsi="宋体" w:cs="宋体"/>
          <w:b/>
          <w:bCs/>
          <w:color w:val="auto"/>
          <w:szCs w:val="24"/>
          <w:highlight w:val="none"/>
        </w:rPr>
      </w:pPr>
      <w:r>
        <w:rPr>
          <w:rFonts w:hint="eastAsia" w:ascii="宋体" w:hAnsi="宋体" w:cs="宋体"/>
          <w:b/>
          <w:color w:val="auto"/>
          <w:szCs w:val="24"/>
          <w:highlight w:val="none"/>
        </w:rPr>
        <w:br w:type="page"/>
      </w:r>
      <w:r>
        <w:rPr>
          <w:rFonts w:hint="eastAsia" w:ascii="宋体" w:hAnsi="宋体" w:cs="宋体"/>
          <w:b/>
          <w:color w:val="auto"/>
          <w:szCs w:val="24"/>
          <w:highlight w:val="none"/>
        </w:rPr>
        <w:t>响应文件目录</w:t>
      </w:r>
    </w:p>
    <w:p>
      <w:pPr>
        <w:tabs>
          <w:tab w:val="left" w:pos="540"/>
        </w:tabs>
        <w:snapToGrid w:val="0"/>
        <w:spacing w:line="360" w:lineRule="auto"/>
        <w:rPr>
          <w:rFonts w:ascii="宋体" w:hAnsi="宋体" w:cs="宋体"/>
          <w:b/>
          <w:color w:val="auto"/>
          <w:szCs w:val="24"/>
          <w:highlight w:val="none"/>
          <w:lang w:val="en-GB"/>
        </w:rPr>
      </w:pPr>
    </w:p>
    <w:p>
      <w:pPr>
        <w:tabs>
          <w:tab w:val="left" w:pos="540"/>
        </w:tabs>
        <w:snapToGrid w:val="0"/>
        <w:spacing w:line="360" w:lineRule="auto"/>
        <w:ind w:left="482" w:hanging="482" w:hangingChars="200"/>
        <w:rPr>
          <w:rFonts w:ascii="宋体" w:hAnsi="宋体" w:cs="宋体"/>
          <w:b/>
          <w:color w:val="auto"/>
          <w:szCs w:val="24"/>
          <w:highlight w:val="none"/>
          <w:lang w:val="en-GB"/>
        </w:rPr>
      </w:pPr>
      <w:r>
        <w:rPr>
          <w:rFonts w:hint="eastAsia" w:ascii="宋体" w:hAnsi="宋体" w:cs="宋体"/>
          <w:b/>
          <w:color w:val="auto"/>
          <w:szCs w:val="24"/>
          <w:highlight w:val="none"/>
          <w:lang w:val="en-GB"/>
        </w:rPr>
        <w:t>注：响应文件必须编制目录（目录格式不限，由供应商自行编制），且目录必须清晰、准确，与响应文件中的每页所加注的页码相对应。供应商须按响应文件格式内容进行排版，如属于格式外的内容，供应商可根据其内容自行排版。</w:t>
      </w:r>
    </w:p>
    <w:p>
      <w:pPr>
        <w:tabs>
          <w:tab w:val="left" w:pos="720"/>
        </w:tabs>
        <w:spacing w:line="360" w:lineRule="auto"/>
        <w:rPr>
          <w:rFonts w:ascii="宋体" w:hAnsi="宋体" w:cs="宋体"/>
          <w:b/>
          <w:color w:val="auto"/>
          <w:szCs w:val="24"/>
          <w:highlight w:val="none"/>
        </w:rPr>
      </w:pPr>
    </w:p>
    <w:p>
      <w:pPr>
        <w:tabs>
          <w:tab w:val="left" w:pos="720"/>
        </w:tabs>
        <w:spacing w:line="360" w:lineRule="auto"/>
        <w:rPr>
          <w:rFonts w:ascii="宋体" w:hAnsi="宋体" w:cs="宋体"/>
          <w:b/>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6"/>
        <w:spacing w:line="360" w:lineRule="auto"/>
        <w:jc w:val="center"/>
        <w:rPr>
          <w:rFonts w:ascii="宋体" w:hAnsi="宋体" w:cs="宋体"/>
          <w:color w:val="auto"/>
          <w:sz w:val="48"/>
          <w:szCs w:val="48"/>
          <w:highlight w:val="none"/>
        </w:rPr>
      </w:pPr>
      <w:bookmarkStart w:id="125" w:name="_Toc13344"/>
      <w:r>
        <w:rPr>
          <w:rFonts w:hint="eastAsia" w:ascii="宋体" w:hAnsi="宋体" w:cs="宋体"/>
          <w:color w:val="auto"/>
          <w:sz w:val="48"/>
          <w:szCs w:val="48"/>
          <w:highlight w:val="none"/>
        </w:rPr>
        <w:t>第一章  自查表</w:t>
      </w:r>
      <w:bookmarkEnd w:id="125"/>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pStyle w:val="7"/>
        <w:jc w:val="center"/>
        <w:rPr>
          <w:rFonts w:ascii="宋体" w:hAnsi="宋体" w:cs="宋体"/>
          <w:color w:val="auto"/>
          <w:szCs w:val="24"/>
          <w:highlight w:val="none"/>
        </w:rPr>
      </w:pPr>
      <w:r>
        <w:rPr>
          <w:rFonts w:hint="eastAsia" w:ascii="宋体" w:hAnsi="宋体" w:cs="宋体"/>
          <w:color w:val="auto"/>
          <w:sz w:val="28"/>
          <w:szCs w:val="28"/>
          <w:highlight w:val="none"/>
        </w:rPr>
        <w:t>1.1 供应商磋商资格符合性自查表</w:t>
      </w:r>
    </w:p>
    <w:tbl>
      <w:tblPr>
        <w:tblStyle w:val="3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15"/>
        <w:gridCol w:w="4910"/>
        <w:gridCol w:w="944"/>
        <w:gridCol w:w="109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3" w:type="dxa"/>
            <w:gridSpan w:val="3"/>
            <w:vMerge w:val="restart"/>
            <w:shd w:val="clear" w:color="auto" w:fill="A4A4A4"/>
            <w:vAlign w:val="center"/>
          </w:tcPr>
          <w:p>
            <w:pPr>
              <w:spacing w:line="360" w:lineRule="auto"/>
              <w:jc w:val="center"/>
              <w:rPr>
                <w:rFonts w:ascii="宋体" w:hAnsi="宋体" w:cs="宋体"/>
                <w:color w:val="auto"/>
                <w:szCs w:val="24"/>
                <w:highlight w:val="none"/>
              </w:rPr>
            </w:pPr>
            <w:r>
              <w:rPr>
                <w:rFonts w:hint="eastAsia" w:ascii="宋体" w:hAnsi="宋体" w:cs="宋体"/>
                <w:b/>
                <w:bCs/>
                <w:color w:val="auto"/>
                <w:szCs w:val="24"/>
                <w:highlight w:val="none"/>
              </w:rPr>
              <w:t>采购文件要求</w:t>
            </w:r>
          </w:p>
        </w:tc>
        <w:tc>
          <w:tcPr>
            <w:tcW w:w="2040" w:type="dxa"/>
            <w:gridSpan w:val="2"/>
            <w:tcBorders>
              <w:bottom w:val="single" w:color="auto" w:sz="4" w:space="0"/>
            </w:tcBorders>
            <w:shd w:val="clear" w:color="auto" w:fill="A4A4A4"/>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自查结论</w:t>
            </w:r>
          </w:p>
        </w:tc>
        <w:tc>
          <w:tcPr>
            <w:tcW w:w="1723" w:type="dxa"/>
            <w:vMerge w:val="restart"/>
            <w:shd w:val="clear" w:color="auto" w:fill="A4A4A4"/>
            <w:vAlign w:val="center"/>
          </w:tcPr>
          <w:p>
            <w:pPr>
              <w:spacing w:line="360" w:lineRule="auto"/>
              <w:ind w:right="10" w:rightChars="4"/>
              <w:jc w:val="center"/>
              <w:rPr>
                <w:rFonts w:ascii="宋体" w:hAnsi="宋体" w:cs="宋体"/>
                <w:b/>
                <w:bCs/>
                <w:color w:val="auto"/>
                <w:szCs w:val="24"/>
                <w:highlight w:val="none"/>
              </w:rPr>
            </w:pPr>
            <w:r>
              <w:rPr>
                <w:rFonts w:hint="eastAsia" w:ascii="宋体" w:hAnsi="宋体" w:cs="宋体"/>
                <w:b/>
                <w:bCs/>
                <w:color w:val="auto"/>
                <w:szCs w:val="24"/>
                <w:highlight w:val="none"/>
              </w:rPr>
              <w:t>证明资料</w:t>
            </w: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所在页码</w:t>
            </w: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w:t>
            </w:r>
            <w:r>
              <w:rPr>
                <w:rFonts w:hint="eastAsia" w:ascii="宋体" w:hAnsi="宋体" w:cs="宋体"/>
                <w:b/>
                <w:color w:val="auto"/>
                <w:szCs w:val="24"/>
                <w:highlight w:val="none"/>
              </w:rPr>
              <w:t>见响应文件</w:t>
            </w:r>
            <w:r>
              <w:rPr>
                <w:rFonts w:hint="eastAsia" w:ascii="宋体" w:hAnsi="宋体" w:cs="宋体"/>
                <w:b/>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3" w:type="dxa"/>
            <w:gridSpan w:val="3"/>
            <w:vMerge w:val="continue"/>
            <w:shd w:val="clear" w:color="auto" w:fill="auto"/>
            <w:vAlign w:val="center"/>
          </w:tcPr>
          <w:p>
            <w:pPr>
              <w:spacing w:line="360" w:lineRule="auto"/>
              <w:jc w:val="center"/>
              <w:rPr>
                <w:rFonts w:ascii="宋体" w:hAnsi="宋体" w:cs="宋体"/>
                <w:b/>
                <w:bCs/>
                <w:color w:val="auto"/>
                <w:szCs w:val="24"/>
                <w:highlight w:val="none"/>
              </w:rPr>
            </w:pPr>
          </w:p>
        </w:tc>
        <w:tc>
          <w:tcPr>
            <w:tcW w:w="944" w:type="dxa"/>
            <w:tcBorders>
              <w:bottom w:val="single" w:color="auto" w:sz="4" w:space="0"/>
            </w:tcBorders>
            <w:shd w:val="clear" w:color="auto" w:fill="A4A4A4"/>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通过</w:t>
            </w:r>
          </w:p>
        </w:tc>
        <w:tc>
          <w:tcPr>
            <w:tcW w:w="1096" w:type="dxa"/>
            <w:tcBorders>
              <w:bottom w:val="single" w:color="auto" w:sz="4" w:space="0"/>
            </w:tcBorders>
            <w:shd w:val="clear" w:color="auto" w:fill="A4A4A4"/>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不通过</w:t>
            </w:r>
          </w:p>
        </w:tc>
        <w:tc>
          <w:tcPr>
            <w:tcW w:w="1723" w:type="dxa"/>
            <w:vMerge w:val="continue"/>
            <w:vAlign w:val="center"/>
          </w:tcPr>
          <w:p>
            <w:pPr>
              <w:spacing w:line="360" w:lineRule="auto"/>
              <w:ind w:right="10" w:rightChars="4"/>
              <w:jc w:val="center"/>
              <w:rPr>
                <w:rFonts w:ascii="宋体" w:hAnsi="宋体" w:cs="宋体"/>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restart"/>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资格性</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审查</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1</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Style w:val="34"/>
                <w:rFonts w:hint="eastAsia" w:ascii="宋体" w:hAnsi="宋体" w:eastAsia="宋体" w:cs="宋体"/>
                <w:b w:val="0"/>
                <w:bCs w:val="0"/>
                <w:color w:val="auto"/>
                <w:spacing w:val="0"/>
                <w:szCs w:val="24"/>
                <w:highlight w:val="none"/>
                <w:lang w:val="en-US" w:eastAsia="zh-CN"/>
              </w:rPr>
              <w:t>具备《中华人民共和国政府采购法》第二十二条规定的条件</w:t>
            </w:r>
            <w:r>
              <w:rPr>
                <w:rFonts w:hint="eastAsia" w:ascii="宋体" w:hAnsi="宋体" w:cs="宋体"/>
                <w:color w:val="auto"/>
                <w:szCs w:val="24"/>
                <w:highlight w:val="none"/>
              </w:rPr>
              <w:t>；</w:t>
            </w:r>
          </w:p>
        </w:tc>
        <w:tc>
          <w:tcPr>
            <w:tcW w:w="944" w:type="dxa"/>
            <w:tcBorders>
              <w:top w:val="single" w:color="auto" w:sz="4" w:space="0"/>
            </w:tcBorders>
            <w:vAlign w:val="center"/>
          </w:tcPr>
          <w:p>
            <w:pPr>
              <w:spacing w:line="360" w:lineRule="auto"/>
              <w:jc w:val="center"/>
              <w:rPr>
                <w:rFonts w:ascii="宋体" w:hAnsi="宋体" w:cs="宋体"/>
                <w:b/>
                <w:color w:val="auto"/>
                <w:szCs w:val="24"/>
                <w:highlight w:val="none"/>
              </w:rPr>
            </w:pPr>
          </w:p>
        </w:tc>
        <w:tc>
          <w:tcPr>
            <w:tcW w:w="1096" w:type="dxa"/>
            <w:tcBorders>
              <w:top w:val="single" w:color="auto" w:sz="4" w:space="0"/>
            </w:tcBorders>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2</w:t>
            </w:r>
          </w:p>
        </w:tc>
        <w:tc>
          <w:tcPr>
            <w:tcW w:w="491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color w:val="auto"/>
                <w:szCs w:val="24"/>
                <w:highlight w:val="none"/>
                <w:lang w:val="hr-HR"/>
              </w:rPr>
            </w:pPr>
            <w:r>
              <w:rPr>
                <w:rStyle w:val="34"/>
                <w:rFonts w:hint="eastAsia" w:ascii="宋体" w:hAnsi="宋体" w:eastAsia="宋体" w:cs="宋体"/>
                <w:b w:val="0"/>
                <w:bCs w:val="0"/>
                <w:color w:val="auto"/>
                <w:spacing w:val="0"/>
                <w:szCs w:val="24"/>
                <w:highlight w:val="none"/>
                <w:lang w:val="en-US" w:eastAsia="zh-CN"/>
              </w:rPr>
              <w:t>供应商须在中国大陆境内合法注册，能独立承担民事责任</w:t>
            </w:r>
            <w:r>
              <w:rPr>
                <w:rStyle w:val="34"/>
                <w:rFonts w:hint="eastAsia" w:ascii="宋体" w:hAnsi="宋体" w:cs="宋体"/>
                <w:b w:val="0"/>
                <w:bCs w:val="0"/>
                <w:color w:val="auto"/>
                <w:spacing w:val="0"/>
                <w:szCs w:val="24"/>
                <w:highlight w:val="none"/>
                <w:lang w:val="en-US" w:eastAsia="zh-CN"/>
              </w:rPr>
              <w:t>，</w:t>
            </w:r>
            <w:r>
              <w:rPr>
                <w:rStyle w:val="34"/>
                <w:rFonts w:hint="eastAsia" w:ascii="宋体" w:hAnsi="宋体" w:eastAsia="宋体" w:cs="宋体"/>
                <w:b w:val="0"/>
                <w:bCs w:val="0"/>
                <w:color w:val="auto"/>
                <w:spacing w:val="0"/>
                <w:szCs w:val="24"/>
                <w:highlight w:val="none"/>
                <w:lang w:val="en-US" w:eastAsia="zh-CN"/>
              </w:rPr>
              <w:t>供应商若为分公司，须同时出具总公司的营业执照以及总公司的投标授权书</w:t>
            </w:r>
            <w:r>
              <w:rPr>
                <w:rFonts w:hint="eastAsia" w:ascii="宋体" w:hAnsi="宋体" w:cs="宋体"/>
                <w:color w:val="auto"/>
                <w:szCs w:val="24"/>
                <w:highlight w:val="none"/>
              </w:rPr>
              <w:t>；</w:t>
            </w:r>
          </w:p>
        </w:tc>
        <w:tc>
          <w:tcPr>
            <w:tcW w:w="944" w:type="dxa"/>
            <w:tcBorders>
              <w:top w:val="single" w:color="auto" w:sz="4" w:space="0"/>
            </w:tcBorders>
            <w:vAlign w:val="center"/>
          </w:tcPr>
          <w:p>
            <w:pPr>
              <w:spacing w:line="360" w:lineRule="auto"/>
              <w:jc w:val="center"/>
              <w:rPr>
                <w:rFonts w:ascii="宋体" w:hAnsi="宋体" w:cs="宋体"/>
                <w:b/>
                <w:color w:val="auto"/>
                <w:szCs w:val="24"/>
                <w:highlight w:val="none"/>
              </w:rPr>
            </w:pPr>
          </w:p>
        </w:tc>
        <w:tc>
          <w:tcPr>
            <w:tcW w:w="1096" w:type="dxa"/>
            <w:tcBorders>
              <w:top w:val="single" w:color="auto" w:sz="4" w:space="0"/>
            </w:tcBorders>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pacing w:val="0"/>
                <w:szCs w:val="24"/>
                <w:highlight w:val="none"/>
                <w:lang w:val="en-US" w:eastAsia="zh-CN"/>
              </w:rPr>
              <w:t>供应商未被列入“信用中国”网站(www.creditchina.gov.cn)“记录失信被执行人或税收违法黑名单（即原“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Style w:val="34"/>
                <w:rFonts w:hint="eastAsia" w:ascii="宋体" w:hAnsi="宋体" w:cs="宋体"/>
                <w:b w:val="0"/>
                <w:bCs w:val="0"/>
                <w:color w:val="auto"/>
                <w:spacing w:val="0"/>
                <w:szCs w:val="24"/>
                <w:highlight w:val="none"/>
                <w:lang w:val="en-US" w:eastAsia="zh-CN"/>
              </w:rPr>
              <w:t>；</w:t>
            </w:r>
          </w:p>
        </w:tc>
        <w:tc>
          <w:tcPr>
            <w:tcW w:w="944" w:type="dxa"/>
            <w:vAlign w:val="center"/>
          </w:tcPr>
          <w:p>
            <w:pPr>
              <w:spacing w:line="360" w:lineRule="auto"/>
              <w:jc w:val="center"/>
              <w:rPr>
                <w:rFonts w:ascii="宋体" w:hAnsi="宋体" w:cs="宋体"/>
                <w:b/>
                <w:color w:val="auto"/>
                <w:szCs w:val="24"/>
                <w:highlight w:val="none"/>
              </w:rPr>
            </w:pPr>
          </w:p>
        </w:tc>
        <w:tc>
          <w:tcPr>
            <w:tcW w:w="1096" w:type="dxa"/>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4</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Style w:val="34"/>
                <w:rFonts w:hint="eastAsia" w:ascii="宋体" w:hAnsi="宋体" w:eastAsia="宋体" w:cs="宋体"/>
                <w:b w:val="0"/>
                <w:bCs w:val="0"/>
                <w:color w:val="auto"/>
                <w:spacing w:val="0"/>
                <w:szCs w:val="24"/>
                <w:highlight w:val="none"/>
                <w:lang w:val="en-US" w:eastAsia="zh-CN"/>
              </w:rPr>
              <w:t>单位负责人为同一人或者存在直接控股、管理关系的不同投标人，不得同时参加本采购项目（</w:t>
            </w:r>
            <w:r>
              <w:rPr>
                <w:rStyle w:val="34"/>
                <w:rFonts w:hint="eastAsia" w:ascii="宋体" w:hAnsi="宋体" w:cs="宋体"/>
                <w:b w:val="0"/>
                <w:bCs w:val="0"/>
                <w:color w:val="auto"/>
                <w:spacing w:val="0"/>
                <w:szCs w:val="24"/>
                <w:highlight w:val="none"/>
                <w:lang w:val="en-US" w:eastAsia="zh-CN"/>
              </w:rPr>
              <w:t>包组</w:t>
            </w:r>
            <w:r>
              <w:rPr>
                <w:rStyle w:val="34"/>
                <w:rFonts w:hint="eastAsia" w:ascii="宋体" w:hAnsi="宋体" w:eastAsia="宋体" w:cs="宋体"/>
                <w:b w:val="0"/>
                <w:bCs w:val="0"/>
                <w:color w:val="auto"/>
                <w:spacing w:val="0"/>
                <w:szCs w:val="24"/>
                <w:highlight w:val="none"/>
                <w:lang w:val="en-US" w:eastAsia="zh-CN"/>
              </w:rPr>
              <w:t>）投标（响应）。为本项目提供整体设计、 规范编制或者项目管理、监理、检测等服务的投标人，不得再参与本项目投标（响应）</w:t>
            </w:r>
            <w:r>
              <w:rPr>
                <w:rStyle w:val="34"/>
                <w:rFonts w:hint="eastAsia" w:ascii="宋体" w:hAnsi="宋体" w:cs="宋体"/>
                <w:b w:val="0"/>
                <w:bCs w:val="0"/>
                <w:color w:val="auto"/>
                <w:spacing w:val="0"/>
                <w:szCs w:val="24"/>
                <w:highlight w:val="none"/>
                <w:lang w:val="en-US" w:eastAsia="zh-CN"/>
              </w:rPr>
              <w:t>。提供承诺函</w:t>
            </w:r>
            <w:r>
              <w:rPr>
                <w:rFonts w:hint="eastAsia" w:ascii="宋体" w:hAnsi="宋体" w:cs="宋体"/>
                <w:color w:val="auto"/>
                <w:szCs w:val="24"/>
                <w:highlight w:val="none"/>
              </w:rPr>
              <w:t>。</w:t>
            </w:r>
          </w:p>
        </w:tc>
        <w:tc>
          <w:tcPr>
            <w:tcW w:w="944" w:type="dxa"/>
            <w:vAlign w:val="center"/>
          </w:tcPr>
          <w:p>
            <w:pPr>
              <w:spacing w:line="360" w:lineRule="auto"/>
              <w:jc w:val="center"/>
              <w:rPr>
                <w:rFonts w:ascii="宋体" w:hAnsi="宋体" w:cs="宋体"/>
                <w:b/>
                <w:color w:val="auto"/>
                <w:szCs w:val="24"/>
                <w:highlight w:val="none"/>
              </w:rPr>
            </w:pPr>
          </w:p>
        </w:tc>
        <w:tc>
          <w:tcPr>
            <w:tcW w:w="1096" w:type="dxa"/>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Style w:val="34"/>
                <w:rFonts w:hint="eastAsia" w:ascii="宋体" w:hAnsi="宋体" w:eastAsia="宋体" w:cs="宋体"/>
                <w:b w:val="0"/>
                <w:bCs w:val="0"/>
                <w:color w:val="auto"/>
                <w:spacing w:val="0"/>
                <w:szCs w:val="24"/>
                <w:highlight w:val="none"/>
                <w:lang w:val="en-US" w:eastAsia="zh-CN"/>
              </w:rPr>
            </w:pPr>
            <w:r>
              <w:rPr>
                <w:rStyle w:val="34"/>
                <w:rFonts w:hint="eastAsia" w:ascii="宋体" w:hAnsi="宋体" w:eastAsia="宋体" w:cs="宋体"/>
                <w:b w:val="0"/>
                <w:bCs w:val="0"/>
                <w:color w:val="auto"/>
                <w:szCs w:val="24"/>
                <w:highlight w:val="none"/>
                <w:lang w:val="en-US" w:eastAsia="zh-CN"/>
              </w:rPr>
              <w:t>供应商必须具有</w:t>
            </w:r>
            <w:r>
              <w:rPr>
                <w:rStyle w:val="34"/>
                <w:rFonts w:hint="eastAsia" w:ascii="宋体" w:hAnsi="宋体" w:cs="宋体"/>
                <w:b w:val="0"/>
                <w:bCs w:val="0"/>
                <w:color w:val="auto"/>
                <w:szCs w:val="24"/>
                <w:highlight w:val="none"/>
                <w:lang w:val="en-US" w:eastAsia="zh-CN"/>
              </w:rPr>
              <w:t>国家金融监督管理总局（原中国银行保险监督管理委员会）</w:t>
            </w:r>
            <w:r>
              <w:rPr>
                <w:rStyle w:val="34"/>
                <w:rFonts w:hint="eastAsia" w:ascii="宋体" w:hAnsi="宋体" w:eastAsia="宋体" w:cs="宋体"/>
                <w:b w:val="0"/>
                <w:bCs w:val="0"/>
                <w:color w:val="auto"/>
                <w:szCs w:val="24"/>
                <w:highlight w:val="none"/>
                <w:lang w:val="en-US" w:eastAsia="zh-CN"/>
              </w:rPr>
              <w:t>颁发的《经营保险业务许可证》</w:t>
            </w:r>
            <w:r>
              <w:rPr>
                <w:rFonts w:hint="eastAsia"/>
                <w:color w:val="auto"/>
                <w:highlight w:val="none"/>
              </w:rPr>
              <w:t>（分支机构投标的，若有总公司有效授权，总公司取得的相关资质证书对分支机构有效，一个总公司只能有一个分支机构参与本项目投标，如同一总公司的多个分支机构参与本项目投标，则按报名的先后顺序，取最先报名者为有效</w:t>
            </w:r>
            <w:r>
              <w:rPr>
                <w:rFonts w:hint="eastAsia"/>
                <w:color w:val="auto"/>
                <w:highlight w:val="none"/>
                <w:lang w:eastAsia="zh-CN"/>
              </w:rPr>
              <w:t>供应商</w:t>
            </w:r>
            <w:r>
              <w:rPr>
                <w:rFonts w:hint="eastAsia"/>
                <w:color w:val="auto"/>
                <w:highlight w:val="none"/>
              </w:rPr>
              <w:t>）</w:t>
            </w:r>
            <w:r>
              <w:rPr>
                <w:rFonts w:hint="eastAsia"/>
                <w:color w:val="auto"/>
                <w:highlight w:val="none"/>
                <w:lang w:eastAsia="zh-CN"/>
              </w:rPr>
              <w:t>。</w:t>
            </w:r>
          </w:p>
        </w:tc>
        <w:tc>
          <w:tcPr>
            <w:tcW w:w="944" w:type="dxa"/>
            <w:vAlign w:val="center"/>
          </w:tcPr>
          <w:p>
            <w:pPr>
              <w:spacing w:line="360" w:lineRule="auto"/>
              <w:jc w:val="center"/>
              <w:rPr>
                <w:rFonts w:ascii="宋体" w:hAnsi="宋体" w:cs="宋体"/>
                <w:b/>
                <w:color w:val="auto"/>
                <w:szCs w:val="24"/>
                <w:highlight w:val="none"/>
              </w:rPr>
            </w:pPr>
          </w:p>
        </w:tc>
        <w:tc>
          <w:tcPr>
            <w:tcW w:w="1096" w:type="dxa"/>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6</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本项目不接受联合体磋商</w:t>
            </w:r>
          </w:p>
        </w:tc>
        <w:tc>
          <w:tcPr>
            <w:tcW w:w="944" w:type="dxa"/>
            <w:vAlign w:val="center"/>
          </w:tcPr>
          <w:p>
            <w:pPr>
              <w:spacing w:line="360" w:lineRule="auto"/>
              <w:jc w:val="center"/>
              <w:rPr>
                <w:rFonts w:ascii="宋体" w:hAnsi="宋体" w:cs="宋体"/>
                <w:b/>
                <w:color w:val="auto"/>
                <w:szCs w:val="24"/>
                <w:highlight w:val="none"/>
              </w:rPr>
            </w:pPr>
          </w:p>
        </w:tc>
        <w:tc>
          <w:tcPr>
            <w:tcW w:w="1096" w:type="dxa"/>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hint="eastAsia" w:ascii="宋体" w:hAnsi="宋体" w:cs="宋体"/>
                <w:color w:val="auto"/>
                <w:szCs w:val="24"/>
                <w:highlight w:val="none"/>
              </w:rPr>
            </w:pPr>
            <w:r>
              <w:rPr>
                <w:rStyle w:val="34"/>
                <w:rFonts w:hint="eastAsia" w:ascii="宋体" w:hAnsi="宋体" w:cs="宋体"/>
                <w:b w:val="0"/>
                <w:bCs w:val="0"/>
                <w:color w:val="auto"/>
                <w:spacing w:val="0"/>
                <w:szCs w:val="24"/>
                <w:highlight w:val="none"/>
                <w:lang w:val="en-US" w:eastAsia="zh-CN"/>
              </w:rPr>
              <w:t>本项目不属于专门面向中小企业采购的项目。本项目为服务类项目；根据中小企业划分标准，本项目所属行业为其他未列明行业。</w:t>
            </w:r>
          </w:p>
        </w:tc>
        <w:tc>
          <w:tcPr>
            <w:tcW w:w="944" w:type="dxa"/>
            <w:vAlign w:val="center"/>
          </w:tcPr>
          <w:p>
            <w:pPr>
              <w:spacing w:line="360" w:lineRule="auto"/>
              <w:jc w:val="center"/>
              <w:rPr>
                <w:rFonts w:ascii="宋体" w:hAnsi="宋体" w:cs="宋体"/>
                <w:b/>
                <w:color w:val="auto"/>
                <w:szCs w:val="24"/>
                <w:highlight w:val="none"/>
              </w:rPr>
            </w:pPr>
          </w:p>
        </w:tc>
        <w:tc>
          <w:tcPr>
            <w:tcW w:w="1096" w:type="dxa"/>
            <w:vAlign w:val="center"/>
          </w:tcPr>
          <w:p>
            <w:pPr>
              <w:spacing w:line="360" w:lineRule="auto"/>
              <w:jc w:val="center"/>
              <w:rPr>
                <w:rFonts w:ascii="宋体" w:hAnsi="宋体" w:cs="宋体"/>
                <w:b/>
                <w:color w:val="auto"/>
                <w:szCs w:val="24"/>
                <w:highlight w:val="none"/>
              </w:rPr>
            </w:pPr>
          </w:p>
        </w:tc>
        <w:tc>
          <w:tcPr>
            <w:tcW w:w="1723" w:type="dxa"/>
            <w:vAlign w:val="center"/>
          </w:tcPr>
          <w:p>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restart"/>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符合性</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审查</w:t>
            </w: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1</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按照</w:t>
            </w:r>
            <w:r>
              <w:rPr>
                <w:rFonts w:hint="eastAsia" w:ascii="宋体" w:hAnsi="宋体" w:cs="宋体"/>
                <w:color w:val="auto"/>
                <w:szCs w:val="24"/>
                <w:highlight w:val="none"/>
                <w:lang w:val="en-US" w:eastAsia="zh-CN"/>
              </w:rPr>
              <w:t>竞争性磋商文件</w:t>
            </w:r>
            <w:r>
              <w:rPr>
                <w:rFonts w:hint="eastAsia" w:ascii="宋体" w:hAnsi="宋体" w:cs="宋体"/>
                <w:color w:val="auto"/>
                <w:szCs w:val="24"/>
                <w:highlight w:val="none"/>
              </w:rPr>
              <w:t>规定要求签署、盖章且响应文件有法定代表人签字或盖章（或签字人有法定代表人有效授权书）的；</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jc w:val="center"/>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2</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磋商承诺函已提交并符合竞争性磋商文件要求的；</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4"/>
                <w:highlight w:val="none"/>
              </w:rPr>
            </w:pPr>
            <w:r>
              <w:rPr>
                <w:rFonts w:hint="eastAsia" w:ascii="宋体" w:hAnsi="宋体" w:cs="宋体"/>
                <w:color w:val="auto"/>
                <w:szCs w:val="24"/>
                <w:highlight w:val="none"/>
              </w:rPr>
              <w:t>3</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报价不高于采购预算/控制总额；</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vMerge w:val="continue"/>
            <w:vAlign w:val="center"/>
          </w:tcPr>
          <w:p>
            <w:pPr>
              <w:spacing w:line="360" w:lineRule="auto"/>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50" w:rightChars="21"/>
              <w:jc w:val="center"/>
              <w:textAlignment w:val="auto"/>
              <w:rPr>
                <w:rFonts w:ascii="宋体" w:hAnsi="宋体" w:cs="宋体"/>
                <w:color w:val="auto"/>
                <w:szCs w:val="24"/>
                <w:highlight w:val="none"/>
              </w:rPr>
            </w:pPr>
            <w:r>
              <w:rPr>
                <w:rFonts w:hint="eastAsia" w:ascii="宋体" w:hAnsi="宋体" w:cs="宋体"/>
                <w:color w:val="auto"/>
                <w:szCs w:val="24"/>
                <w:highlight w:val="none"/>
              </w:rPr>
              <w:t>4</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响应文件没有竞争性磋商文件中规定的其它无效磋商条款的；</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vMerge w:val="continue"/>
            <w:vAlign w:val="center"/>
          </w:tcPr>
          <w:p>
            <w:pPr>
              <w:spacing w:line="360" w:lineRule="auto"/>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50" w:rightChars="21"/>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hint="eastAsia" w:ascii="宋体" w:hAnsi="宋体" w:cs="宋体"/>
                <w:color w:val="auto"/>
                <w:szCs w:val="24"/>
                <w:highlight w:val="none"/>
              </w:rPr>
            </w:pPr>
            <w:r>
              <w:rPr>
                <w:rFonts w:hint="eastAsia" w:ascii="宋体" w:hAnsi="宋体" w:cs="宋体"/>
                <w:color w:val="auto"/>
                <w:szCs w:val="24"/>
                <w:highlight w:val="none"/>
              </w:rPr>
              <w:t>完全满足</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文件中标注“★”的条款及要求（如有）</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vMerge w:val="continue"/>
            <w:vAlign w:val="center"/>
          </w:tcPr>
          <w:p>
            <w:pPr>
              <w:spacing w:line="360" w:lineRule="auto"/>
              <w:rPr>
                <w:rFonts w:ascii="宋体" w:hAnsi="宋体" w:cs="宋体"/>
                <w:color w:val="auto"/>
                <w:szCs w:val="24"/>
                <w:highlight w:val="none"/>
              </w:rPr>
            </w:pPr>
          </w:p>
        </w:tc>
        <w:tc>
          <w:tcPr>
            <w:tcW w:w="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2" w:leftChars="30" w:right="50" w:rightChars="21"/>
              <w:jc w:val="center"/>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6</w:t>
            </w:r>
          </w:p>
        </w:tc>
        <w:tc>
          <w:tcPr>
            <w:tcW w:w="4910" w:type="dxa"/>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40" w:lineRule="auto"/>
              <w:ind w:left="46" w:leftChars="19"/>
              <w:jc w:val="left"/>
              <w:textAlignment w:val="auto"/>
              <w:rPr>
                <w:rFonts w:ascii="宋体" w:hAnsi="宋体" w:cs="宋体"/>
                <w:color w:val="auto"/>
                <w:szCs w:val="24"/>
                <w:highlight w:val="none"/>
              </w:rPr>
            </w:pPr>
            <w:r>
              <w:rPr>
                <w:rFonts w:hint="eastAsia" w:ascii="宋体" w:hAnsi="宋体" w:cs="宋体"/>
                <w:color w:val="auto"/>
                <w:szCs w:val="24"/>
                <w:highlight w:val="none"/>
              </w:rPr>
              <w:t>按有关法律、法规、规章不属于磋商无效的</w:t>
            </w:r>
          </w:p>
        </w:tc>
        <w:tc>
          <w:tcPr>
            <w:tcW w:w="944" w:type="dxa"/>
            <w:vAlign w:val="center"/>
          </w:tcPr>
          <w:p>
            <w:pPr>
              <w:spacing w:line="360" w:lineRule="auto"/>
              <w:ind w:firstLine="120" w:firstLineChars="50"/>
              <w:jc w:val="center"/>
              <w:rPr>
                <w:rFonts w:ascii="宋体" w:hAnsi="宋体" w:cs="宋体"/>
                <w:b/>
                <w:color w:val="auto"/>
                <w:szCs w:val="24"/>
                <w:highlight w:val="none"/>
              </w:rPr>
            </w:pPr>
          </w:p>
        </w:tc>
        <w:tc>
          <w:tcPr>
            <w:tcW w:w="1096" w:type="dxa"/>
            <w:vAlign w:val="center"/>
          </w:tcPr>
          <w:p>
            <w:pPr>
              <w:spacing w:line="360" w:lineRule="auto"/>
              <w:ind w:firstLine="120" w:firstLineChars="50"/>
              <w:jc w:val="center"/>
              <w:rPr>
                <w:rFonts w:ascii="宋体" w:hAnsi="宋体" w:cs="宋体"/>
                <w:b/>
                <w:color w:val="auto"/>
                <w:szCs w:val="24"/>
                <w:highlight w:val="none"/>
              </w:rPr>
            </w:pPr>
          </w:p>
        </w:tc>
        <w:tc>
          <w:tcPr>
            <w:tcW w:w="1723"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bl>
    <w:p>
      <w:pPr>
        <w:spacing w:line="360" w:lineRule="auto"/>
        <w:rPr>
          <w:rFonts w:ascii="宋体" w:hAnsi="宋体" w:cs="宋体"/>
          <w:b/>
          <w:color w:val="auto"/>
          <w:szCs w:val="24"/>
          <w:highlight w:val="none"/>
          <w:u w:val="double"/>
        </w:rPr>
      </w:pPr>
    </w:p>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注：</w:t>
      </w:r>
    </w:p>
    <w:p>
      <w:pPr>
        <w:spacing w:line="360" w:lineRule="auto"/>
        <w:ind w:left="480" w:hanging="480" w:hangingChars="200"/>
        <w:rPr>
          <w:rFonts w:ascii="宋体" w:hAnsi="宋体" w:cs="宋体"/>
          <w:color w:val="auto"/>
          <w:szCs w:val="24"/>
          <w:highlight w:val="none"/>
        </w:rPr>
      </w:pPr>
      <w:r>
        <w:rPr>
          <w:rFonts w:hint="eastAsia" w:ascii="宋体" w:hAnsi="宋体" w:cs="宋体"/>
          <w:color w:val="auto"/>
          <w:szCs w:val="24"/>
          <w:highlight w:val="none"/>
        </w:rPr>
        <w:t>1.  以上材料将作为供应商资格性、符合性审查内容的重要组成部分，供应商必须严格按照其内容要求在响应文件中如实提供，并在</w:t>
      </w:r>
      <w:r>
        <w:rPr>
          <w:rFonts w:hint="eastAsia" w:ascii="宋体" w:hAnsi="宋体" w:cs="宋体"/>
          <w:b/>
          <w:color w:val="auto"/>
          <w:szCs w:val="24"/>
          <w:highlight w:val="none"/>
        </w:rPr>
        <w:t>“自查结论”</w:t>
      </w:r>
      <w:r>
        <w:rPr>
          <w:rFonts w:hint="eastAsia" w:ascii="宋体" w:hAnsi="宋体" w:cs="宋体"/>
          <w:color w:val="auto"/>
          <w:szCs w:val="24"/>
          <w:highlight w:val="none"/>
        </w:rPr>
        <w:t>栏的对应选项的“□”处打“√”。</w:t>
      </w:r>
    </w:p>
    <w:p>
      <w:pPr>
        <w:spacing w:line="360" w:lineRule="auto"/>
        <w:ind w:left="480" w:hanging="480" w:hangingChars="200"/>
        <w:rPr>
          <w:rFonts w:ascii="宋体" w:hAnsi="宋体" w:cs="宋体"/>
          <w:color w:val="auto"/>
          <w:szCs w:val="24"/>
          <w:highlight w:val="none"/>
        </w:rPr>
      </w:pPr>
      <w:r>
        <w:rPr>
          <w:rFonts w:hint="eastAsia" w:ascii="宋体" w:hAnsi="宋体" w:cs="宋体"/>
          <w:color w:val="auto"/>
          <w:szCs w:val="24"/>
          <w:highlight w:val="none"/>
        </w:rPr>
        <w:t>2.  本表所填写内容若不属实或存在偏差，不属于无效磋商条件，实际以供应商提供的材料为准。</w:t>
      </w:r>
    </w:p>
    <w:p>
      <w:pPr>
        <w:spacing w:line="360" w:lineRule="auto"/>
        <w:rPr>
          <w:rFonts w:ascii="宋体" w:hAnsi="宋体" w:cs="宋体"/>
          <w:color w:val="auto"/>
          <w:szCs w:val="24"/>
          <w:highlight w:val="none"/>
        </w:rPr>
      </w:pPr>
      <w:r>
        <w:rPr>
          <w:rFonts w:hint="eastAsia" w:ascii="宋体" w:hAnsi="宋体" w:cs="宋体"/>
          <w:color w:val="auto"/>
          <w:szCs w:val="24"/>
          <w:highlight w:val="none"/>
        </w:rPr>
        <w:t>3.  本表由供应商如实填写，以供磋商小组参考，否则可能影响供应商的得分。</w:t>
      </w: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pStyle w:val="7"/>
        <w:spacing w:after="120" w:afterLines="50"/>
        <w:jc w:val="center"/>
        <w:rPr>
          <w:rFonts w:ascii="宋体" w:hAnsi="宋体" w:cs="宋体"/>
          <w:color w:val="auto"/>
          <w:szCs w:val="24"/>
          <w:highlight w:val="none"/>
        </w:rPr>
      </w:pPr>
      <w:r>
        <w:rPr>
          <w:rFonts w:hint="eastAsia" w:ascii="宋体" w:hAnsi="宋体" w:cs="宋体"/>
          <w:color w:val="auto"/>
          <w:szCs w:val="24"/>
          <w:highlight w:val="none"/>
        </w:rPr>
        <w:t>1.2 评审内容索引表</w:t>
      </w:r>
    </w:p>
    <w:p>
      <w:pPr>
        <w:spacing w:line="360" w:lineRule="auto"/>
        <w:rPr>
          <w:rFonts w:ascii="宋体" w:hAnsi="宋体" w:cs="宋体"/>
          <w:b/>
          <w:color w:val="auto"/>
          <w:szCs w:val="24"/>
          <w:highlight w:val="none"/>
        </w:rPr>
      </w:pPr>
      <w:r>
        <w:rPr>
          <w:rFonts w:hint="eastAsia" w:ascii="宋体" w:hAnsi="宋体" w:cs="宋体"/>
          <w:b/>
          <w:color w:val="auto"/>
          <w:szCs w:val="24"/>
          <w:highlight w:val="none"/>
        </w:rPr>
        <w:t>技术部分</w:t>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92"/>
        <w:gridCol w:w="820"/>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567" w:type="dxa"/>
            <w:gridSpan w:val="2"/>
            <w:shd w:val="clear" w:color="auto" w:fill="A4A4A4"/>
            <w:vAlign w:val="center"/>
          </w:tcPr>
          <w:p>
            <w:pPr>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评审内容及子项</w:t>
            </w:r>
          </w:p>
        </w:tc>
        <w:tc>
          <w:tcPr>
            <w:tcW w:w="820" w:type="dxa"/>
            <w:shd w:val="clear" w:color="auto" w:fill="A4A4A4"/>
            <w:vAlign w:val="center"/>
          </w:tcPr>
          <w:p>
            <w:pPr>
              <w:pStyle w:val="90"/>
              <w:snapToGrid w:val="0"/>
              <w:spacing w:line="360" w:lineRule="auto"/>
              <w:ind w:left="-91" w:leftChars="-57" w:right="-122"/>
              <w:rPr>
                <w:rFonts w:ascii="宋体" w:hAnsi="宋体" w:cs="宋体"/>
                <w:color w:val="auto"/>
                <w:sz w:val="24"/>
                <w:szCs w:val="24"/>
                <w:highlight w:val="none"/>
              </w:rPr>
            </w:pPr>
            <w:r>
              <w:rPr>
                <w:rFonts w:hint="eastAsia" w:ascii="宋体" w:hAnsi="宋体" w:cs="宋体"/>
                <w:color w:val="auto"/>
                <w:sz w:val="24"/>
                <w:szCs w:val="24"/>
                <w:highlight w:val="none"/>
              </w:rPr>
              <w:t>满分值</w:t>
            </w:r>
          </w:p>
        </w:tc>
        <w:tc>
          <w:tcPr>
            <w:tcW w:w="851" w:type="dxa"/>
            <w:shd w:val="clear" w:color="auto" w:fill="A4A4A4"/>
            <w:vAlign w:val="center"/>
          </w:tcPr>
          <w:p>
            <w:pPr>
              <w:pStyle w:val="90"/>
              <w:snapToGrid w:val="0"/>
              <w:spacing w:line="360" w:lineRule="auto"/>
              <w:ind w:left="0" w:leftChars="0" w:right="-122" w:firstLine="0"/>
              <w:rPr>
                <w:rFonts w:ascii="宋体" w:hAnsi="宋体" w:cs="宋体"/>
                <w:color w:val="auto"/>
                <w:sz w:val="24"/>
                <w:szCs w:val="24"/>
                <w:highlight w:val="none"/>
              </w:rPr>
            </w:pPr>
            <w:r>
              <w:rPr>
                <w:rFonts w:hint="eastAsia" w:ascii="宋体" w:hAnsi="宋体" w:cs="宋体"/>
                <w:color w:val="auto"/>
                <w:sz w:val="24"/>
                <w:szCs w:val="24"/>
                <w:highlight w:val="none"/>
              </w:rPr>
              <w:t>自评分</w:t>
            </w:r>
          </w:p>
          <w:p>
            <w:pPr>
              <w:pStyle w:val="12"/>
              <w:snapToGrid w:val="0"/>
              <w:spacing w:line="360" w:lineRule="auto"/>
              <w:ind w:left="-94" w:leftChars="-39" w:right="-101" w:rightChars="-42"/>
              <w:jc w:val="center"/>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（仅供参考）</w:t>
            </w:r>
          </w:p>
        </w:tc>
        <w:tc>
          <w:tcPr>
            <w:tcW w:w="1276" w:type="dxa"/>
            <w:shd w:val="clear" w:color="auto" w:fill="A4A4A4"/>
            <w:vAlign w:val="center"/>
          </w:tcPr>
          <w:p>
            <w:pPr>
              <w:pStyle w:val="90"/>
              <w:snapToGrid w:val="0"/>
              <w:spacing w:line="360" w:lineRule="auto"/>
              <w:ind w:left="-79" w:leftChars="-33" w:right="-122" w:firstLine="0"/>
              <w:rPr>
                <w:rFonts w:ascii="宋体" w:hAnsi="宋体" w:cs="宋体"/>
                <w:color w:val="auto"/>
                <w:sz w:val="24"/>
                <w:szCs w:val="24"/>
                <w:highlight w:val="none"/>
              </w:rPr>
            </w:pPr>
            <w:r>
              <w:rPr>
                <w:rFonts w:hint="eastAsia" w:ascii="宋体" w:hAnsi="宋体" w:cs="宋体"/>
                <w:color w:val="auto"/>
                <w:sz w:val="24"/>
                <w:szCs w:val="24"/>
                <w:highlight w:val="none"/>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67" w:type="dxa"/>
            <w:gridSpan w:val="2"/>
            <w:vAlign w:val="center"/>
          </w:tcPr>
          <w:p>
            <w:pPr>
              <w:snapToGrid w:val="0"/>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技术部分总分合计</w:t>
            </w: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w:t>
            </w:r>
          </w:p>
        </w:tc>
      </w:tr>
    </w:tbl>
    <w:p>
      <w:pPr>
        <w:spacing w:line="360" w:lineRule="auto"/>
        <w:rPr>
          <w:rFonts w:ascii="宋体" w:hAnsi="宋体" w:cs="宋体"/>
          <w:b/>
          <w:color w:val="auto"/>
          <w:szCs w:val="24"/>
          <w:highlight w:val="none"/>
        </w:rPr>
      </w:pPr>
      <w:r>
        <w:rPr>
          <w:rFonts w:hint="eastAsia" w:ascii="宋体" w:hAnsi="宋体" w:cs="宋体"/>
          <w:b/>
          <w:color w:val="auto"/>
          <w:szCs w:val="24"/>
          <w:highlight w:val="none"/>
        </w:rPr>
        <w:t>商务部分</w:t>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92"/>
        <w:gridCol w:w="820"/>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6567" w:type="dxa"/>
            <w:gridSpan w:val="2"/>
            <w:shd w:val="clear" w:color="auto" w:fill="A4A4A4"/>
            <w:vAlign w:val="center"/>
          </w:tcPr>
          <w:p>
            <w:pPr>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评审内容及子项</w:t>
            </w:r>
          </w:p>
        </w:tc>
        <w:tc>
          <w:tcPr>
            <w:tcW w:w="820" w:type="dxa"/>
            <w:shd w:val="clear" w:color="auto" w:fill="A4A4A4"/>
            <w:vAlign w:val="center"/>
          </w:tcPr>
          <w:p>
            <w:pPr>
              <w:pStyle w:val="90"/>
              <w:snapToGrid w:val="0"/>
              <w:spacing w:line="360" w:lineRule="auto"/>
              <w:ind w:left="-91" w:leftChars="-57" w:right="-122"/>
              <w:rPr>
                <w:rFonts w:ascii="宋体" w:hAnsi="宋体" w:cs="宋体"/>
                <w:color w:val="auto"/>
                <w:sz w:val="24"/>
                <w:szCs w:val="24"/>
                <w:highlight w:val="none"/>
              </w:rPr>
            </w:pPr>
            <w:r>
              <w:rPr>
                <w:rFonts w:hint="eastAsia" w:ascii="宋体" w:hAnsi="宋体" w:cs="宋体"/>
                <w:color w:val="auto"/>
                <w:sz w:val="24"/>
                <w:szCs w:val="24"/>
                <w:highlight w:val="none"/>
              </w:rPr>
              <w:t>满分值</w:t>
            </w:r>
          </w:p>
        </w:tc>
        <w:tc>
          <w:tcPr>
            <w:tcW w:w="851" w:type="dxa"/>
            <w:shd w:val="clear" w:color="auto" w:fill="A4A4A4"/>
            <w:vAlign w:val="center"/>
          </w:tcPr>
          <w:p>
            <w:pPr>
              <w:pStyle w:val="90"/>
              <w:snapToGrid w:val="0"/>
              <w:spacing w:line="360" w:lineRule="auto"/>
              <w:ind w:left="0" w:leftChars="0" w:right="-122" w:firstLine="0"/>
              <w:rPr>
                <w:rFonts w:ascii="宋体" w:hAnsi="宋体" w:cs="宋体"/>
                <w:color w:val="auto"/>
                <w:sz w:val="24"/>
                <w:szCs w:val="24"/>
                <w:highlight w:val="none"/>
              </w:rPr>
            </w:pPr>
            <w:r>
              <w:rPr>
                <w:rFonts w:hint="eastAsia" w:ascii="宋体" w:hAnsi="宋体" w:cs="宋体"/>
                <w:color w:val="auto"/>
                <w:sz w:val="24"/>
                <w:szCs w:val="24"/>
                <w:highlight w:val="none"/>
              </w:rPr>
              <w:t>自评分</w:t>
            </w:r>
          </w:p>
          <w:p>
            <w:pPr>
              <w:pStyle w:val="12"/>
              <w:snapToGrid w:val="0"/>
              <w:spacing w:line="360" w:lineRule="auto"/>
              <w:ind w:left="-94" w:leftChars="-39" w:right="-101" w:rightChars="-42"/>
              <w:jc w:val="center"/>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（仅供参考）</w:t>
            </w:r>
          </w:p>
        </w:tc>
        <w:tc>
          <w:tcPr>
            <w:tcW w:w="1276" w:type="dxa"/>
            <w:shd w:val="clear" w:color="auto" w:fill="A4A4A4"/>
            <w:vAlign w:val="center"/>
          </w:tcPr>
          <w:p>
            <w:pPr>
              <w:pStyle w:val="90"/>
              <w:snapToGrid w:val="0"/>
              <w:spacing w:line="360" w:lineRule="auto"/>
              <w:ind w:left="-79" w:leftChars="-33" w:right="-122" w:firstLine="0"/>
              <w:rPr>
                <w:rFonts w:ascii="宋体" w:hAnsi="宋体" w:cs="宋体"/>
                <w:color w:val="auto"/>
                <w:sz w:val="24"/>
                <w:szCs w:val="24"/>
                <w:highlight w:val="none"/>
              </w:rPr>
            </w:pPr>
            <w:r>
              <w:rPr>
                <w:rFonts w:hint="eastAsia" w:ascii="宋体" w:hAnsi="宋体" w:cs="宋体"/>
                <w:color w:val="auto"/>
                <w:sz w:val="24"/>
                <w:szCs w:val="24"/>
                <w:highlight w:val="none"/>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5" w:type="dxa"/>
            <w:vAlign w:val="center"/>
          </w:tcPr>
          <w:p>
            <w:pPr>
              <w:snapToGrid w:val="0"/>
              <w:spacing w:line="360" w:lineRule="auto"/>
              <w:jc w:val="center"/>
              <w:rPr>
                <w:rFonts w:ascii="宋体" w:hAnsi="宋体" w:cs="宋体"/>
                <w:color w:val="auto"/>
                <w:szCs w:val="24"/>
                <w:highlight w:val="none"/>
              </w:rPr>
            </w:pPr>
          </w:p>
        </w:tc>
        <w:tc>
          <w:tcPr>
            <w:tcW w:w="5892" w:type="dxa"/>
            <w:vAlign w:val="center"/>
          </w:tcPr>
          <w:p>
            <w:pPr>
              <w:snapToGrid w:val="0"/>
              <w:spacing w:line="360" w:lineRule="auto"/>
              <w:rPr>
                <w:rFonts w:ascii="宋体" w:hAnsi="宋体" w:cs="宋体"/>
                <w:color w:val="auto"/>
                <w:szCs w:val="24"/>
                <w:highlight w:val="none"/>
              </w:rPr>
            </w:pP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67" w:type="dxa"/>
            <w:gridSpan w:val="2"/>
            <w:vAlign w:val="center"/>
          </w:tcPr>
          <w:p>
            <w:pPr>
              <w:snapToGrid w:val="0"/>
              <w:spacing w:line="360" w:lineRule="auto"/>
              <w:jc w:val="center"/>
              <w:rPr>
                <w:rFonts w:ascii="宋体" w:hAnsi="宋体" w:cs="宋体"/>
                <w:color w:val="auto"/>
                <w:szCs w:val="24"/>
                <w:highlight w:val="none"/>
              </w:rPr>
            </w:pPr>
            <w:r>
              <w:rPr>
                <w:rFonts w:hint="eastAsia" w:ascii="宋体" w:hAnsi="宋体" w:cs="宋体"/>
                <w:b/>
                <w:color w:val="auto"/>
                <w:szCs w:val="24"/>
                <w:highlight w:val="none"/>
              </w:rPr>
              <w:t>商务部分总分合计</w:t>
            </w:r>
          </w:p>
        </w:tc>
        <w:tc>
          <w:tcPr>
            <w:tcW w:w="820" w:type="dxa"/>
            <w:vAlign w:val="center"/>
          </w:tcPr>
          <w:p>
            <w:pPr>
              <w:snapToGrid w:val="0"/>
              <w:spacing w:line="360" w:lineRule="auto"/>
              <w:jc w:val="center"/>
              <w:rPr>
                <w:rFonts w:ascii="宋体" w:hAnsi="宋体" w:cs="宋体"/>
                <w:color w:val="auto"/>
                <w:szCs w:val="24"/>
                <w:highlight w:val="none"/>
              </w:rPr>
            </w:pPr>
          </w:p>
        </w:tc>
        <w:tc>
          <w:tcPr>
            <w:tcW w:w="851" w:type="dxa"/>
            <w:vAlign w:val="center"/>
          </w:tcPr>
          <w:p>
            <w:pPr>
              <w:snapToGrid w:val="0"/>
              <w:spacing w:line="360" w:lineRule="auto"/>
              <w:jc w:val="center"/>
              <w:rPr>
                <w:rFonts w:ascii="宋体" w:hAnsi="宋体" w:cs="宋体"/>
                <w:color w:val="auto"/>
                <w:szCs w:val="24"/>
                <w:highlight w:val="none"/>
              </w:rPr>
            </w:pPr>
          </w:p>
        </w:tc>
        <w:tc>
          <w:tcPr>
            <w:tcW w:w="1276" w:type="dxa"/>
            <w:vAlign w:val="center"/>
          </w:tcPr>
          <w:p>
            <w:pPr>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w:t>
            </w:r>
          </w:p>
        </w:tc>
      </w:tr>
    </w:tbl>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填表说明及要求：</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1.  本表所填写内容若不属实</w:t>
      </w:r>
      <w:r>
        <w:rPr>
          <w:rFonts w:hint="eastAsia" w:ascii="宋体" w:hAnsi="宋体" w:cs="宋体"/>
          <w:color w:val="auto"/>
          <w:szCs w:val="24"/>
          <w:highlight w:val="none"/>
        </w:rPr>
        <w:t>或存在偏差</w:t>
      </w:r>
      <w:r>
        <w:rPr>
          <w:rFonts w:hint="eastAsia" w:ascii="宋体" w:hAnsi="宋体" w:cs="宋体"/>
          <w:color w:val="auto"/>
          <w:szCs w:val="24"/>
          <w:highlight w:val="none"/>
          <w:lang w:val="en-GB"/>
        </w:rPr>
        <w:t>，不属于无效磋商条件，实际以供应商提供的材料为准。</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  本表由供应商如实填写，以供磋商小组参考，否则可能影响供应商的得分。</w:t>
      </w:r>
    </w:p>
    <w:p>
      <w:pPr>
        <w:tabs>
          <w:tab w:val="left" w:pos="540"/>
        </w:tabs>
        <w:snapToGrid w:val="0"/>
        <w:spacing w:line="360" w:lineRule="auto"/>
        <w:rPr>
          <w:rFonts w:ascii="宋体" w:hAnsi="宋体" w:cs="宋体"/>
          <w:color w:val="auto"/>
          <w:szCs w:val="24"/>
          <w:highlight w:val="none"/>
          <w:lang w:val="en-GB"/>
        </w:rPr>
      </w:pPr>
    </w:p>
    <w:p>
      <w:pPr>
        <w:pStyle w:val="47"/>
        <w:spacing w:line="360" w:lineRule="auto"/>
        <w:rPr>
          <w:color w:val="auto"/>
          <w:highlight w:val="none"/>
          <w:lang w:val="en-GB"/>
        </w:rPr>
      </w:pPr>
    </w:p>
    <w:p>
      <w:pPr>
        <w:pStyle w:val="6"/>
        <w:spacing w:line="360" w:lineRule="auto"/>
        <w:rPr>
          <w:rFonts w:ascii="宋体" w:hAnsi="宋体" w:cs="宋体"/>
          <w:color w:val="auto"/>
          <w:sz w:val="24"/>
          <w:szCs w:val="24"/>
          <w:highlight w:val="none"/>
        </w:rPr>
      </w:pPr>
      <w:bookmarkStart w:id="126" w:name="_Toc23844"/>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24"/>
          <w:szCs w:val="24"/>
          <w:highlight w:val="none"/>
        </w:rPr>
      </w:pPr>
    </w:p>
    <w:p>
      <w:pPr>
        <w:pStyle w:val="6"/>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第二章  资格性文件</w:t>
      </w:r>
      <w:bookmarkEnd w:id="126"/>
    </w:p>
    <w:p>
      <w:pPr>
        <w:spacing w:line="360" w:lineRule="auto"/>
        <w:rPr>
          <w:rFonts w:ascii="宋体" w:hAnsi="宋体" w:cs="宋体"/>
          <w:color w:val="auto"/>
          <w:szCs w:val="24"/>
          <w:highlight w:val="none"/>
        </w:rPr>
      </w:pP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（注：本章内容为须提供内容，否则评审时将导致无效磋商，</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对此造成的后果由供应商自负。）</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7"/>
        <w:numPr>
          <w:ilvl w:val="1"/>
          <w:numId w:val="46"/>
        </w:numPr>
        <w:spacing w:after="120" w:afterLines="50"/>
        <w:jc w:val="center"/>
        <w:rPr>
          <w:rFonts w:ascii="宋体" w:hAnsi="宋体" w:cs="宋体"/>
          <w:color w:val="auto"/>
          <w:szCs w:val="24"/>
          <w:highlight w:val="none"/>
          <w:lang w:val="en-GB"/>
        </w:rPr>
      </w:pPr>
      <w:r>
        <w:rPr>
          <w:rFonts w:hint="eastAsia" w:ascii="宋体" w:hAnsi="宋体" w:cs="宋体"/>
          <w:color w:val="auto"/>
          <w:szCs w:val="24"/>
          <w:highlight w:val="none"/>
        </w:rPr>
        <w:br w:type="page"/>
      </w:r>
      <w:r>
        <w:rPr>
          <w:rFonts w:hint="eastAsia" w:ascii="宋体" w:hAnsi="宋体" w:cs="宋体"/>
          <w:color w:val="auto"/>
          <w:szCs w:val="24"/>
          <w:highlight w:val="none"/>
          <w:lang w:val="en-GB"/>
        </w:rPr>
        <w:t>关于资格的声明函</w:t>
      </w:r>
    </w:p>
    <w:p>
      <w:pPr>
        <w:pStyle w:val="7"/>
        <w:spacing w:after="120" w:afterLines="50"/>
        <w:jc w:val="left"/>
        <w:rPr>
          <w:rFonts w:ascii="宋体" w:hAnsi="宋体" w:cs="宋体"/>
          <w:color w:val="auto"/>
          <w:szCs w:val="24"/>
          <w:highlight w:val="none"/>
          <w:lang w:val="en-GB"/>
        </w:rPr>
      </w:pPr>
      <w:r>
        <w:rPr>
          <w:rFonts w:hint="eastAsia" w:ascii="宋体" w:hAnsi="宋体" w:cs="宋体"/>
          <w:color w:val="auto"/>
          <w:szCs w:val="24"/>
          <w:highlight w:val="none"/>
          <w:lang w:val="en-GB"/>
        </w:rPr>
        <w:t>致</w:t>
      </w:r>
      <w:r>
        <w:rPr>
          <w:rFonts w:hint="eastAsia" w:ascii="宋体" w:hAnsi="宋体" w:cs="宋体"/>
          <w:color w:val="auto"/>
          <w:szCs w:val="24"/>
          <w:highlight w:val="none"/>
          <w:lang w:val="en-GB" w:eastAsia="zh-CN"/>
        </w:rPr>
        <w:t>佛山市公安局禅城分局</w:t>
      </w:r>
      <w:r>
        <w:rPr>
          <w:rFonts w:hint="eastAsia" w:ascii="宋体" w:hAnsi="宋体" w:cs="宋体"/>
          <w:color w:val="auto"/>
          <w:szCs w:val="24"/>
          <w:highlight w:val="none"/>
          <w:lang w:val="en-GB"/>
        </w:rPr>
        <w:t>：</w:t>
      </w:r>
    </w:p>
    <w:p>
      <w:pPr>
        <w:pStyle w:val="7"/>
        <w:spacing w:after="120" w:afterLines="50"/>
        <w:ind w:firstLine="482" w:firstLineChars="200"/>
        <w:jc w:val="left"/>
        <w:rPr>
          <w:rFonts w:ascii="宋体" w:hAnsi="宋体" w:cs="宋体"/>
          <w:color w:val="auto"/>
          <w:szCs w:val="24"/>
          <w:highlight w:val="none"/>
          <w:lang w:val="en-GB"/>
        </w:rPr>
      </w:pPr>
      <w:r>
        <w:rPr>
          <w:rFonts w:hint="eastAsia" w:ascii="宋体" w:hAnsi="宋体" w:cs="宋体"/>
          <w:color w:val="auto"/>
          <w:szCs w:val="24"/>
          <w:highlight w:val="none"/>
          <w:lang w:val="en-GB"/>
        </w:rPr>
        <w:t>关于贵方</w:t>
      </w:r>
      <w:r>
        <w:rPr>
          <w:rFonts w:hint="eastAsia" w:ascii="宋体" w:hAnsi="宋体" w:cs="宋体"/>
          <w:color w:val="auto"/>
          <w:szCs w:val="24"/>
          <w:highlight w:val="none"/>
          <w:u w:val="single"/>
          <w:lang w:val="en-GB"/>
        </w:rPr>
        <w:t>项目名称</w:t>
      </w:r>
      <w:r>
        <w:rPr>
          <w:rFonts w:hint="eastAsia" w:ascii="宋体" w:hAnsi="宋体" w:cs="宋体"/>
          <w:color w:val="auto"/>
          <w:szCs w:val="24"/>
          <w:highlight w:val="none"/>
          <w:lang w:val="en-GB"/>
        </w:rPr>
        <w:t>（项目编号：）投标邀请，本签字人愿意参加投标，如有欺诈、隐瞒事实违法行为，愿接受相关</w:t>
      </w:r>
    </w:p>
    <w:p>
      <w:pPr>
        <w:pStyle w:val="7"/>
        <w:spacing w:after="120" w:afterLines="50"/>
        <w:jc w:val="left"/>
        <w:rPr>
          <w:rFonts w:ascii="宋体" w:hAnsi="宋体" w:cs="宋体"/>
          <w:color w:val="auto"/>
          <w:szCs w:val="24"/>
          <w:highlight w:val="none"/>
          <w:lang w:val="en-GB"/>
        </w:rPr>
      </w:pPr>
      <w:r>
        <w:rPr>
          <w:rFonts w:hint="eastAsia" w:ascii="宋体" w:hAnsi="宋体" w:cs="宋体"/>
          <w:color w:val="auto"/>
          <w:szCs w:val="24"/>
          <w:highlight w:val="none"/>
          <w:lang w:val="en-GB"/>
        </w:rPr>
        <w:t>部门的依法处理。</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一、我方对《</w:t>
      </w:r>
      <w:r>
        <w:rPr>
          <w:rFonts w:hint="eastAsia" w:ascii="宋体" w:hAnsi="宋体" w:cs="宋体"/>
          <w:color w:val="auto"/>
          <w:szCs w:val="24"/>
          <w:highlight w:val="none"/>
          <w:lang w:val="en-GB" w:eastAsia="zh-CN"/>
        </w:rPr>
        <w:t>中华人民共和国政府采购法</w:t>
      </w:r>
      <w:r>
        <w:rPr>
          <w:rFonts w:hint="eastAsia" w:ascii="宋体" w:hAnsi="宋体" w:cs="宋体"/>
          <w:color w:val="auto"/>
          <w:szCs w:val="24"/>
          <w:highlight w:val="none"/>
          <w:lang w:val="en-GB"/>
        </w:rPr>
        <w:t>》第二十二条规定的条件及其他相关要求作以下承诺：</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1.我方(填“具有”/“不具有”)独立承担民事责任的能力；</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2.我方(填“具有”/“不具有”)良好的商业信誉和健全的财务会计制度；</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3.我方(填“具有”/“不具有”)履行合同所必需的设备和专业技术能力；</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4.我方(填“有”/“无”)依法缴纳税收和社会保障资金的良好记录；</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5.我方参加政府采购活动前三年内，在经营活动中(填“有”或“无”)重大违法记录；</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6.我方(填“符合”/“不符合”)法律、行政法规规定的其他条件。</w:t>
      </w:r>
    </w:p>
    <w:p>
      <w:pPr>
        <w:pStyle w:val="7"/>
        <w:spacing w:after="120" w:afterLines="50" w:line="240" w:lineRule="auto"/>
        <w:jc w:val="left"/>
        <w:rPr>
          <w:rFonts w:hint="eastAsia" w:ascii="宋体" w:hAnsi="宋体" w:cs="宋体"/>
          <w:color w:val="auto"/>
          <w:szCs w:val="24"/>
          <w:highlight w:val="none"/>
          <w:lang w:val="en-GB" w:eastAsia="zh-CN"/>
        </w:rPr>
      </w:pPr>
      <w:r>
        <w:rPr>
          <w:rFonts w:hint="eastAsia" w:ascii="宋体" w:hAnsi="宋体" w:cs="宋体"/>
          <w:color w:val="auto"/>
          <w:szCs w:val="24"/>
          <w:highlight w:val="none"/>
          <w:lang w:val="en-GB"/>
        </w:rPr>
        <w:t>7.我方(填“没有”/“有”) 被列入“信用中国”网站(www.creditchina.gov.cn)“记录失信被执行人或税收违法黑名单（即原“重大税收违法案件当事人名单”）”记录名单</w:t>
      </w:r>
      <w:r>
        <w:rPr>
          <w:rFonts w:hint="eastAsia" w:ascii="宋体" w:hAnsi="宋体" w:cs="宋体"/>
          <w:color w:val="auto"/>
          <w:szCs w:val="24"/>
          <w:highlight w:val="none"/>
          <w:lang w:val="en-GB" w:eastAsia="zh-CN"/>
        </w:rPr>
        <w:t>；</w:t>
      </w:r>
    </w:p>
    <w:p>
      <w:pPr>
        <w:pStyle w:val="7"/>
        <w:spacing w:after="120" w:afterLines="50" w:line="240" w:lineRule="auto"/>
        <w:jc w:val="left"/>
        <w:rPr>
          <w:rFonts w:hint="eastAsia" w:ascii="宋体" w:hAnsi="宋体" w:cs="宋体"/>
          <w:color w:val="auto"/>
          <w:szCs w:val="24"/>
          <w:highlight w:val="none"/>
          <w:lang w:val="en-GB"/>
        </w:rPr>
      </w:pP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val="en-GB" w:eastAsia="zh-CN"/>
        </w:rPr>
        <w:t>（</w:t>
      </w:r>
      <w:r>
        <w:rPr>
          <w:rFonts w:hint="eastAsia" w:ascii="宋体" w:hAnsi="宋体" w:cs="宋体"/>
          <w:color w:val="auto"/>
          <w:szCs w:val="24"/>
          <w:highlight w:val="none"/>
          <w:lang w:val="en-GB"/>
        </w:rPr>
        <w:t>填“没有”/“有”</w:t>
      </w:r>
      <w:r>
        <w:rPr>
          <w:rFonts w:hint="eastAsia" w:ascii="宋体" w:hAnsi="宋体" w:cs="宋体"/>
          <w:color w:val="auto"/>
          <w:szCs w:val="24"/>
          <w:highlight w:val="none"/>
          <w:lang w:val="en-GB" w:eastAsia="zh-CN"/>
        </w:rPr>
        <w:t>）</w:t>
      </w:r>
      <w:r>
        <w:rPr>
          <w:rFonts w:hint="eastAsia" w:ascii="宋体" w:hAnsi="宋体" w:cs="宋体"/>
          <w:color w:val="auto"/>
          <w:szCs w:val="24"/>
          <w:highlight w:val="none"/>
          <w:lang w:val="en-GB"/>
        </w:rPr>
        <w:t>处于中国政府采购网(www.ccgp.gov.cn)“政府采购严重违法失信行为信息记录”中的禁止参加政府采购活动期间。</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val="en-GB"/>
        </w:rPr>
        <w:t>.根据《中华人民共和国政府采购法实施条例》的规定，本公司（企业）如为采购项目</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提供整体设计、规范编制或者项目管理、监理、检测等服务的供应商，不再参加该采</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购项目的其他采购活动。</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US" w:eastAsia="zh-CN"/>
        </w:rPr>
        <w:t>10</w:t>
      </w:r>
      <w:r>
        <w:rPr>
          <w:rFonts w:hint="eastAsia" w:ascii="宋体" w:hAnsi="宋体" w:cs="宋体"/>
          <w:color w:val="auto"/>
          <w:szCs w:val="24"/>
          <w:highlight w:val="none"/>
          <w:lang w:val="en-GB"/>
        </w:rPr>
        <w:t>.我方承诺单位负责人为同一人或者存在直接控股、管理关系的不同供应商，不得同时</w:t>
      </w:r>
    </w:p>
    <w:p>
      <w:pPr>
        <w:pStyle w:val="7"/>
        <w:spacing w:after="120" w:afterLines="50"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参加本采购项目投标。</w:t>
      </w:r>
    </w:p>
    <w:p>
      <w:pPr>
        <w:tabs>
          <w:tab w:val="left" w:pos="-3780"/>
        </w:tabs>
        <w:spacing w:line="360" w:lineRule="auto"/>
        <w:rPr>
          <w:rFonts w:ascii="宋体" w:hAnsi="宋体" w:cs="宋体"/>
          <w:color w:val="auto"/>
          <w:szCs w:val="24"/>
          <w:highlight w:val="none"/>
        </w:rPr>
      </w:pPr>
    </w:p>
    <w:p>
      <w:pPr>
        <w:tabs>
          <w:tab w:val="left" w:pos="-3780"/>
        </w:tabs>
        <w:spacing w:line="360" w:lineRule="auto"/>
        <w:rPr>
          <w:rFonts w:ascii="宋体" w:hAnsi="宋体" w:cs="宋体"/>
          <w:color w:val="auto"/>
          <w:szCs w:val="24"/>
          <w:highlight w:val="none"/>
        </w:rPr>
      </w:pPr>
    </w:p>
    <w:p>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tabs>
          <w:tab w:val="left" w:pos="-3780"/>
        </w:tabs>
        <w:spacing w:line="36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pPr>
        <w:tabs>
          <w:tab w:val="left" w:pos="-3780"/>
        </w:tabs>
        <w:spacing w:line="360" w:lineRule="auto"/>
        <w:rPr>
          <w:rFonts w:ascii="宋体" w:hAnsi="宋体" w:cs="宋体"/>
          <w:color w:val="auto"/>
          <w:szCs w:val="24"/>
          <w:highlight w:val="none"/>
          <w:lang w:val="en-GB"/>
        </w:rPr>
      </w:pPr>
      <w:r>
        <w:rPr>
          <w:rFonts w:hint="eastAsia" w:ascii="宋体" w:hAnsi="宋体" w:cs="宋体"/>
          <w:color w:val="auto"/>
          <w:szCs w:val="24"/>
          <w:highlight w:val="none"/>
        </w:rPr>
        <w:t>承诺日期：年 月日</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8"/>
        <w:spacing w:before="0" w:after="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2.2营业执照</w:t>
      </w:r>
    </w:p>
    <w:p>
      <w:pPr>
        <w:spacing w:line="360" w:lineRule="auto"/>
        <w:rPr>
          <w:rFonts w:ascii="宋体" w:hAnsi="宋体" w:cs="宋体"/>
          <w:color w:val="auto"/>
          <w:szCs w:val="24"/>
          <w:highlight w:val="none"/>
        </w:rPr>
      </w:pPr>
    </w:p>
    <w:tbl>
      <w:tblPr>
        <w:tblStyle w:val="31"/>
        <w:tblW w:w="9806"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8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156" w:hRule="atLeast"/>
          <w:jc w:val="center"/>
        </w:trPr>
        <w:tc>
          <w:tcPr>
            <w:tcW w:w="9806" w:type="dxa"/>
          </w:tcPr>
          <w:p>
            <w:pPr>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注：</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1.</w:t>
            </w:r>
            <w:r>
              <w:rPr>
                <w:rFonts w:hint="eastAsia" w:ascii="宋体" w:hAnsi="宋体" w:cs="宋体"/>
                <w:color w:val="auto"/>
                <w:szCs w:val="24"/>
                <w:highlight w:val="none"/>
                <w:lang w:val="en-GB"/>
              </w:rPr>
              <w:t>此项附</w:t>
            </w:r>
            <w:r>
              <w:rPr>
                <w:rFonts w:hint="eastAsia" w:ascii="宋体" w:hAnsi="宋体" w:cs="宋体"/>
                <w:color w:val="auto"/>
                <w:szCs w:val="24"/>
                <w:highlight w:val="none"/>
                <w:u w:val="single"/>
                <w:lang w:val="en-GB"/>
              </w:rPr>
              <w:t>《营业执照》或《事业单位法人证书》（副本）</w:t>
            </w:r>
            <w:r>
              <w:rPr>
                <w:rFonts w:hint="eastAsia" w:ascii="宋体" w:hAnsi="宋体" w:cs="宋体"/>
                <w:color w:val="auto"/>
                <w:szCs w:val="24"/>
                <w:highlight w:val="none"/>
                <w:lang w:val="en-GB"/>
              </w:rPr>
              <w:t>；</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2.</w:t>
            </w:r>
            <w:r>
              <w:rPr>
                <w:rFonts w:hint="eastAsia" w:ascii="宋体" w:hAnsi="宋体" w:cs="宋体"/>
                <w:color w:val="auto"/>
                <w:szCs w:val="24"/>
                <w:highlight w:val="none"/>
                <w:lang w:val="en-GB"/>
              </w:rPr>
              <w:t>证明材料为复印件或扫描件（加盖公章）；</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3.</w:t>
            </w:r>
            <w:r>
              <w:rPr>
                <w:rFonts w:hint="eastAsia" w:ascii="宋体" w:hAnsi="宋体" w:cs="宋体"/>
                <w:color w:val="auto"/>
                <w:szCs w:val="24"/>
                <w:highlight w:val="none"/>
                <w:lang w:val="en-GB"/>
              </w:rPr>
              <w:t>如企业名称已变更，应再附上工商部门出具的核准变更通知书。</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4.</w:t>
            </w:r>
            <w:r>
              <w:rPr>
                <w:rFonts w:hint="eastAsia" w:ascii="宋体" w:hAnsi="宋体" w:cs="宋体"/>
                <w:color w:val="auto"/>
                <w:szCs w:val="24"/>
                <w:highlight w:val="none"/>
                <w:lang w:val="en-GB"/>
              </w:rPr>
              <w:t>若不能附全可增加页；</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5.</w:t>
            </w:r>
            <w:r>
              <w:rPr>
                <w:rFonts w:hint="eastAsia" w:ascii="宋体" w:hAnsi="宋体" w:cs="宋体"/>
                <w:color w:val="auto"/>
                <w:szCs w:val="24"/>
                <w:highlight w:val="none"/>
                <w:lang w:val="en-GB"/>
              </w:rPr>
              <w:t>供应商附上复印件或扫描件时可覆盖虚线框。</w:t>
            </w:r>
          </w:p>
        </w:tc>
      </w:tr>
    </w:tbl>
    <w:p>
      <w:pPr>
        <w:spacing w:line="360" w:lineRule="auto"/>
        <w:rPr>
          <w:rFonts w:ascii="宋体" w:hAnsi="宋体" w:cs="宋体"/>
          <w:color w:val="auto"/>
          <w:szCs w:val="24"/>
          <w:highlight w:val="none"/>
          <w:lang w:val="en-GB"/>
        </w:rPr>
      </w:pPr>
    </w:p>
    <w:p>
      <w:pPr>
        <w:spacing w:line="360" w:lineRule="auto"/>
        <w:rPr>
          <w:rFonts w:ascii="宋体" w:hAnsi="宋体" w:cs="宋体"/>
          <w:color w:val="auto"/>
          <w:szCs w:val="24"/>
          <w:highlight w:val="none"/>
          <w:lang w:val="en-GB"/>
        </w:rPr>
      </w:pPr>
    </w:p>
    <w:p>
      <w:pPr>
        <w:pStyle w:val="8"/>
        <w:spacing w:before="0" w:after="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2.3供应商认为须要提供的材料（可选）</w:t>
      </w:r>
    </w:p>
    <w:p>
      <w:pPr>
        <w:spacing w:line="360" w:lineRule="auto"/>
        <w:rPr>
          <w:rFonts w:ascii="宋体" w:hAnsi="宋体" w:cs="宋体"/>
          <w:color w:val="auto"/>
          <w:szCs w:val="24"/>
          <w:highlight w:val="none"/>
        </w:rPr>
      </w:pPr>
    </w:p>
    <w:tbl>
      <w:tblPr>
        <w:tblStyle w:val="31"/>
        <w:tblW w:w="9806"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8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314" w:hRule="atLeast"/>
          <w:jc w:val="center"/>
        </w:trPr>
        <w:tc>
          <w:tcPr>
            <w:tcW w:w="9806" w:type="dxa"/>
          </w:tcPr>
          <w:p>
            <w:pPr>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注：</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1.</w:t>
            </w:r>
            <w:r>
              <w:rPr>
                <w:rFonts w:hint="eastAsia" w:ascii="宋体" w:hAnsi="宋体" w:cs="宋体"/>
                <w:color w:val="auto"/>
                <w:szCs w:val="24"/>
                <w:highlight w:val="none"/>
                <w:lang w:val="en-GB"/>
              </w:rPr>
              <w:t>此项附</w:t>
            </w:r>
            <w:r>
              <w:rPr>
                <w:rFonts w:hint="eastAsia" w:ascii="宋体" w:hAnsi="宋体" w:cs="宋体"/>
                <w:color w:val="auto"/>
                <w:szCs w:val="24"/>
                <w:highlight w:val="none"/>
                <w:u w:val="single"/>
                <w:lang w:val="en-GB"/>
              </w:rPr>
              <w:t>供应商认为须要提供的材料</w:t>
            </w:r>
            <w:r>
              <w:rPr>
                <w:rFonts w:hint="eastAsia" w:ascii="宋体" w:hAnsi="宋体" w:cs="宋体"/>
                <w:color w:val="auto"/>
                <w:szCs w:val="24"/>
                <w:highlight w:val="none"/>
                <w:lang w:val="en-GB"/>
              </w:rPr>
              <w:t>；</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2.</w:t>
            </w:r>
            <w:r>
              <w:rPr>
                <w:rFonts w:hint="eastAsia" w:ascii="宋体" w:hAnsi="宋体" w:cs="宋体"/>
                <w:color w:val="auto"/>
                <w:szCs w:val="24"/>
                <w:highlight w:val="none"/>
                <w:lang w:val="en-GB"/>
              </w:rPr>
              <w:t>证明材料为复印件或扫描件（加盖公章）；</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3.</w:t>
            </w:r>
            <w:r>
              <w:rPr>
                <w:rFonts w:hint="eastAsia" w:ascii="宋体" w:hAnsi="宋体" w:cs="宋体"/>
                <w:color w:val="auto"/>
                <w:szCs w:val="24"/>
                <w:highlight w:val="none"/>
                <w:lang w:val="en-GB"/>
              </w:rPr>
              <w:t>若不能附全可增加页；</w:t>
            </w:r>
          </w:p>
          <w:p>
            <w:pPr>
              <w:spacing w:line="360" w:lineRule="auto"/>
              <w:rPr>
                <w:rFonts w:ascii="宋体" w:hAnsi="宋体" w:cs="宋体"/>
                <w:color w:val="auto"/>
                <w:szCs w:val="24"/>
                <w:highlight w:val="none"/>
                <w:lang w:val="en-GB"/>
              </w:rPr>
            </w:pPr>
            <w:r>
              <w:rPr>
                <w:rFonts w:hint="eastAsia" w:ascii="宋体" w:hAnsi="宋体" w:cs="宋体"/>
                <w:b/>
                <w:color w:val="auto"/>
                <w:szCs w:val="24"/>
                <w:highlight w:val="none"/>
                <w:lang w:val="en-GB"/>
              </w:rPr>
              <w:t>4.</w:t>
            </w:r>
            <w:r>
              <w:rPr>
                <w:rFonts w:hint="eastAsia" w:ascii="宋体" w:hAnsi="宋体" w:cs="宋体"/>
                <w:color w:val="auto"/>
                <w:szCs w:val="24"/>
                <w:highlight w:val="none"/>
                <w:lang w:val="en-GB"/>
              </w:rPr>
              <w:t>供应商附上复印件时可覆盖虚线框。</w:t>
            </w:r>
          </w:p>
        </w:tc>
      </w:tr>
    </w:tbl>
    <w:p>
      <w:pPr>
        <w:pStyle w:val="2"/>
        <w:jc w:val="center"/>
        <w:rPr>
          <w:color w:val="auto"/>
          <w:highlight w:val="none"/>
        </w:rPr>
      </w:pPr>
      <w:r>
        <w:rPr>
          <w:rFonts w:hint="eastAsia" w:ascii="宋体" w:hAnsi="宋体" w:cs="宋体"/>
          <w:color w:val="auto"/>
          <w:szCs w:val="24"/>
          <w:highlight w:val="none"/>
        </w:rPr>
        <w:br w:type="page"/>
      </w:r>
    </w:p>
    <w:p>
      <w:pPr>
        <w:rPr>
          <w:color w:val="auto"/>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480"/>
        <w:rPr>
          <w:rFonts w:ascii="宋体" w:hAnsi="宋体" w:cs="宋体"/>
          <w:color w:val="auto"/>
          <w:szCs w:val="24"/>
          <w:highlight w:val="none"/>
        </w:rPr>
      </w:pPr>
    </w:p>
    <w:p>
      <w:pPr>
        <w:pStyle w:val="11"/>
        <w:ind w:firstLine="0" w:firstLineChars="0"/>
        <w:rPr>
          <w:rFonts w:ascii="宋体" w:hAnsi="宋体" w:cs="宋体"/>
          <w:color w:val="auto"/>
          <w:szCs w:val="24"/>
          <w:highlight w:val="none"/>
        </w:rPr>
      </w:pPr>
    </w:p>
    <w:p>
      <w:pPr>
        <w:pStyle w:val="11"/>
        <w:ind w:firstLine="880"/>
        <w:rPr>
          <w:rFonts w:ascii="宋体" w:hAnsi="宋体" w:cs="宋体"/>
          <w:color w:val="auto"/>
          <w:sz w:val="44"/>
          <w:szCs w:val="44"/>
          <w:highlight w:val="none"/>
        </w:rPr>
      </w:pPr>
    </w:p>
    <w:p>
      <w:pPr>
        <w:pStyle w:val="6"/>
        <w:spacing w:line="360" w:lineRule="auto"/>
        <w:jc w:val="center"/>
        <w:rPr>
          <w:rFonts w:ascii="宋体" w:hAnsi="宋体" w:cs="宋体"/>
          <w:color w:val="auto"/>
          <w:sz w:val="48"/>
          <w:szCs w:val="48"/>
          <w:highlight w:val="none"/>
        </w:rPr>
      </w:pPr>
      <w:bookmarkStart w:id="127" w:name="_Toc19599"/>
      <w:bookmarkStart w:id="128" w:name="_Toc18945"/>
      <w:bookmarkStart w:id="129" w:name="_Toc8125"/>
      <w:r>
        <w:rPr>
          <w:rFonts w:hint="eastAsia" w:ascii="宋体" w:hAnsi="宋体" w:cs="宋体"/>
          <w:color w:val="auto"/>
          <w:sz w:val="48"/>
          <w:szCs w:val="48"/>
          <w:highlight w:val="none"/>
        </w:rPr>
        <w:t>第三章</w:t>
      </w:r>
      <w:r>
        <w:rPr>
          <w:rFonts w:hint="eastAsia" w:ascii="宋体" w:hAnsi="宋体" w:cs="宋体"/>
          <w:color w:val="auto"/>
          <w:sz w:val="48"/>
          <w:szCs w:val="48"/>
          <w:highlight w:val="none"/>
        </w:rPr>
        <w:tab/>
      </w:r>
      <w:r>
        <w:rPr>
          <w:rFonts w:hint="eastAsia" w:ascii="宋体" w:hAnsi="宋体" w:cs="宋体"/>
          <w:color w:val="auto"/>
          <w:sz w:val="48"/>
          <w:szCs w:val="48"/>
          <w:highlight w:val="none"/>
        </w:rPr>
        <w:t>符合性文件</w:t>
      </w:r>
      <w:bookmarkEnd w:id="127"/>
      <w:bookmarkEnd w:id="128"/>
      <w:bookmarkEnd w:id="129"/>
    </w:p>
    <w:p>
      <w:pPr>
        <w:pStyle w:val="5"/>
        <w:spacing w:before="11" w:line="360" w:lineRule="auto"/>
        <w:rPr>
          <w:rFonts w:ascii="宋体" w:hAnsi="宋体" w:cs="宋体"/>
          <w:b/>
          <w:color w:val="auto"/>
          <w:sz w:val="24"/>
          <w:szCs w:val="24"/>
          <w:highlight w:val="none"/>
        </w:rPr>
      </w:pPr>
    </w:p>
    <w:p>
      <w:pPr>
        <w:pStyle w:val="5"/>
        <w:spacing w:line="360" w:lineRule="auto"/>
        <w:ind w:left="1552" w:right="1551"/>
        <w:jc w:val="center"/>
        <w:rPr>
          <w:rFonts w:ascii="宋体" w:hAnsi="宋体" w:cs="宋体"/>
          <w:color w:val="auto"/>
          <w:sz w:val="24"/>
          <w:szCs w:val="24"/>
          <w:highlight w:val="none"/>
        </w:rPr>
        <w:sectPr>
          <w:pgSz w:w="11910" w:h="16840"/>
          <w:pgMar w:top="1240" w:right="1160" w:bottom="1040" w:left="1160" w:header="794" w:footer="841" w:gutter="0"/>
          <w:pgBorders>
            <w:top w:val="none" w:sz="0" w:space="0"/>
            <w:left w:val="none" w:sz="0" w:space="0"/>
            <w:bottom w:val="none" w:sz="0" w:space="0"/>
            <w:right w:val="none" w:sz="0" w:space="0"/>
          </w:pgBorders>
          <w:cols w:space="720" w:num="1"/>
        </w:sectPr>
      </w:pPr>
      <w:r>
        <w:rPr>
          <w:rFonts w:hint="eastAsia" w:ascii="宋体" w:hAnsi="宋体" w:cs="宋体"/>
          <w:color w:val="auto"/>
          <w:sz w:val="24"/>
          <w:szCs w:val="24"/>
          <w:highlight w:val="none"/>
        </w:rPr>
        <w:t>（注：本节内容为须提供内容，否则评审时将导致无效磋商，对此造成的后果由供应商自负。以下格式为参考格式，供应商可根据实际情况修改（磋商承诺函除外）</w:t>
      </w: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t>3.1 磋商承诺函</w:t>
      </w:r>
    </w:p>
    <w:p>
      <w:pPr>
        <w:spacing w:line="360" w:lineRule="auto"/>
        <w:rPr>
          <w:rFonts w:ascii="宋体" w:hAnsi="宋体" w:cs="宋体"/>
          <w:b/>
          <w:color w:val="auto"/>
          <w:szCs w:val="24"/>
          <w:highlight w:val="none"/>
        </w:rPr>
      </w:pPr>
      <w:r>
        <w:rPr>
          <w:rFonts w:hint="eastAsia" w:ascii="宋体" w:hAnsi="宋体" w:cs="宋体"/>
          <w:b/>
          <w:color w:val="auto"/>
          <w:szCs w:val="24"/>
          <w:highlight w:val="none"/>
        </w:rPr>
        <w:t xml:space="preserve">致  </w:t>
      </w:r>
      <w:r>
        <w:rPr>
          <w:rFonts w:hint="eastAsia" w:ascii="宋体" w:hAnsi="宋体" w:cs="宋体"/>
          <w:b/>
          <w:color w:val="auto"/>
          <w:szCs w:val="24"/>
          <w:highlight w:val="none"/>
          <w:u w:val="single"/>
          <w:lang w:eastAsia="zh-CN"/>
        </w:rPr>
        <w:t>佛山市公安局禅城分局</w:t>
      </w:r>
      <w:r>
        <w:rPr>
          <w:rFonts w:hint="eastAsia" w:ascii="宋体" w:hAnsi="宋体" w:cs="宋体"/>
          <w:b/>
          <w:color w:val="auto"/>
          <w:szCs w:val="24"/>
          <w:highlight w:val="none"/>
        </w:rPr>
        <w:t>：</w:t>
      </w:r>
    </w:p>
    <w:p>
      <w:pPr>
        <w:spacing w:line="24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我方根据</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文件的要求，通过委任的全权代表，向贵方递交密封册装的全套响应文件参与下列项目的磋商，现为我方的一切磋商行为作郑重承诺及声明如下：</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采购项目名称：</w:t>
      </w:r>
      <w:r>
        <w:rPr>
          <w:rFonts w:hint="eastAsia" w:ascii="宋体" w:hAnsi="宋体" w:cs="宋体"/>
          <w:color w:val="auto"/>
          <w:szCs w:val="24"/>
          <w:highlight w:val="none"/>
          <w:lang w:val="en-GB" w:eastAsia="zh-CN"/>
        </w:rPr>
        <w:t>佛山市公安局禅城分局2024年度车辆保险项目</w:t>
      </w:r>
      <w:r>
        <w:rPr>
          <w:rFonts w:hint="eastAsia" w:ascii="宋体" w:hAnsi="宋体" w:cs="宋体"/>
          <w:color w:val="auto"/>
          <w:szCs w:val="24"/>
          <w:highlight w:val="none"/>
          <w:lang w:val="en-GB"/>
        </w:rPr>
        <w:t xml:space="preserve"> </w:t>
      </w:r>
    </w:p>
    <w:p>
      <w:pPr>
        <w:tabs>
          <w:tab w:val="left" w:pos="540"/>
        </w:tabs>
        <w:snapToGrid w:val="0"/>
        <w:spacing w:line="240" w:lineRule="auto"/>
        <w:ind w:left="510"/>
        <w:rPr>
          <w:rFonts w:hint="eastAsia" w:ascii="宋体" w:hAnsi="宋体" w:eastAsia="宋体" w:cs="宋体"/>
          <w:color w:val="auto"/>
          <w:szCs w:val="24"/>
          <w:highlight w:val="none"/>
          <w:lang w:val="en-GB" w:eastAsia="zh-CN"/>
        </w:rPr>
      </w:pPr>
      <w:r>
        <w:rPr>
          <w:rFonts w:hint="eastAsia" w:ascii="宋体" w:hAnsi="宋体" w:cs="宋体"/>
          <w:color w:val="auto"/>
          <w:szCs w:val="24"/>
          <w:highlight w:val="none"/>
          <w:lang w:val="en-GB"/>
        </w:rPr>
        <w:t>采购项目编号：</w:t>
      </w:r>
      <w:r>
        <w:rPr>
          <w:rFonts w:hint="eastAsia" w:ascii="宋体" w:hAnsi="宋体" w:cs="宋体"/>
          <w:color w:val="auto"/>
          <w:szCs w:val="24"/>
          <w:highlight w:val="none"/>
          <w:lang w:eastAsia="zh-CN"/>
        </w:rPr>
        <w:t>HRC23FSCS1001</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我方已认真阅读了全部</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w:t>
      </w:r>
      <w:r>
        <w:rPr>
          <w:rFonts w:hint="eastAsia" w:ascii="宋体" w:hAnsi="宋体" w:cs="宋体"/>
          <w:color w:val="auto"/>
          <w:szCs w:val="24"/>
          <w:highlight w:val="none"/>
          <w:lang w:val="en-GB"/>
        </w:rPr>
        <w:t>及其相关文件，完全清楚理解其内容及规约，同意接受文件的要求，均没有任何异议、质疑和误解之处。</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我方确认自身完全符合《</w:t>
      </w:r>
      <w:r>
        <w:rPr>
          <w:rFonts w:hint="eastAsia" w:ascii="宋体" w:hAnsi="宋体" w:cs="宋体"/>
          <w:color w:val="auto"/>
          <w:szCs w:val="24"/>
          <w:highlight w:val="none"/>
          <w:lang w:val="en-GB" w:eastAsia="zh-CN"/>
        </w:rPr>
        <w:t>中华人民共和国政府采购法</w:t>
      </w:r>
      <w:r>
        <w:rPr>
          <w:rFonts w:hint="eastAsia" w:ascii="宋体" w:hAnsi="宋体" w:cs="宋体"/>
          <w:color w:val="auto"/>
          <w:szCs w:val="24"/>
          <w:highlight w:val="none"/>
          <w:lang w:val="en-GB"/>
        </w:rPr>
        <w:t>》第二十二条供应商资格条件要求。</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磋商有效期为磋商截止时间起90天，若我方获成交资格，磋商有效期则相应延长至项目最终验收合格之日，不论在任何时候，定将按贵方的要求在规定时间内如实提供一切补充材料。</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完全服从和尊重磋商小组所作的评审结果，同时清楚理解到仅凭磋商报价并非是决定成交资格的唯一重要依据。</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同意按</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w:t>
      </w:r>
      <w:r>
        <w:rPr>
          <w:rFonts w:hint="eastAsia" w:ascii="宋体" w:hAnsi="宋体" w:cs="宋体"/>
          <w:color w:val="auto"/>
          <w:szCs w:val="24"/>
          <w:highlight w:val="none"/>
          <w:lang w:val="en-GB"/>
        </w:rPr>
        <w:t>规定向贵方缴纳成交服务费，并按《成交通知书》的要求，如期签订合同并履行其一切责任和义务。</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我方在参与本次磋商活动中，不曾以任何不正当的手段影响、串通、排斥有关当事人或谋取、施予非法利益，如有行为不当，愿独自承担此行为所造成的后果和法律责任。</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我方承诺已知悉下列要求，并确认我方符合本项目的供应商资格要求：</w:t>
      </w:r>
    </w:p>
    <w:p>
      <w:pPr>
        <w:numPr>
          <w:ilvl w:val="1"/>
          <w:numId w:val="67"/>
        </w:numPr>
        <w:tabs>
          <w:tab w:val="left" w:pos="540"/>
          <w:tab w:val="left" w:pos="840"/>
        </w:tabs>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供应商须为独立于采购人和采购代理机构且具备本项目实施能力的机构；</w:t>
      </w:r>
    </w:p>
    <w:p>
      <w:pPr>
        <w:numPr>
          <w:ilvl w:val="1"/>
          <w:numId w:val="67"/>
        </w:numPr>
        <w:tabs>
          <w:tab w:val="left" w:pos="540"/>
          <w:tab w:val="left" w:pos="840"/>
        </w:tabs>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与采购人存在利害关系可能影响招标公正性的法人、其他组织或者个人，不得参加磋商；</w:t>
      </w:r>
    </w:p>
    <w:p>
      <w:pPr>
        <w:numPr>
          <w:ilvl w:val="1"/>
          <w:numId w:val="67"/>
        </w:numPr>
        <w:tabs>
          <w:tab w:val="left" w:pos="540"/>
          <w:tab w:val="left" w:pos="840"/>
        </w:tabs>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单位负责人为同一人或者存在直接控股、管理关系的不同供应商，不得参加同一合同项下的政府采购活动。</w:t>
      </w:r>
    </w:p>
    <w:p>
      <w:pPr>
        <w:numPr>
          <w:ilvl w:val="0"/>
          <w:numId w:val="66"/>
        </w:numPr>
        <w:tabs>
          <w:tab w:val="left" w:pos="420"/>
          <w:tab w:val="left" w:pos="540"/>
        </w:tabs>
        <w:snapToGrid w:val="0"/>
        <w:spacing w:line="240" w:lineRule="auto"/>
        <w:rPr>
          <w:rFonts w:ascii="宋体" w:hAnsi="宋体" w:cs="宋体"/>
          <w:color w:val="auto"/>
          <w:szCs w:val="24"/>
          <w:highlight w:val="none"/>
          <w:lang w:val="en-GB"/>
        </w:rPr>
      </w:pPr>
      <w:r>
        <w:rPr>
          <w:rFonts w:hint="eastAsia" w:ascii="宋体" w:hAnsi="宋体" w:cs="宋体"/>
          <w:color w:val="auto"/>
          <w:szCs w:val="24"/>
          <w:highlight w:val="none"/>
          <w:lang w:val="en-GB"/>
        </w:rPr>
        <w:t>本承诺函效力及范围均涵盖整套响应文件和一切补充文件。</w:t>
      </w:r>
    </w:p>
    <w:p>
      <w:pPr>
        <w:spacing w:line="240" w:lineRule="auto"/>
        <w:rPr>
          <w:rFonts w:ascii="宋体" w:hAnsi="宋体" w:cs="宋体"/>
          <w:color w:val="auto"/>
          <w:szCs w:val="24"/>
          <w:highlight w:val="none"/>
        </w:rPr>
      </w:pPr>
    </w:p>
    <w:p>
      <w:pPr>
        <w:tabs>
          <w:tab w:val="left" w:pos="-3780"/>
        </w:tabs>
        <w:spacing w:line="240" w:lineRule="auto"/>
        <w:rPr>
          <w:rFonts w:ascii="宋体" w:hAnsi="宋体" w:cs="宋体"/>
          <w:color w:val="auto"/>
          <w:szCs w:val="24"/>
          <w:highlight w:val="none"/>
        </w:rPr>
      </w:pPr>
      <w:bookmarkStart w:id="130" w:name="_投标承诺函"/>
      <w:bookmarkEnd w:id="130"/>
      <w:bookmarkStart w:id="131" w:name="_法人代表授权书"/>
      <w:bookmarkEnd w:id="131"/>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tabs>
          <w:tab w:val="left" w:pos="-3780"/>
        </w:tabs>
        <w:spacing w:line="24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pPr>
        <w:tabs>
          <w:tab w:val="left" w:pos="-3780"/>
        </w:tabs>
        <w:spacing w:line="240" w:lineRule="auto"/>
        <w:rPr>
          <w:rFonts w:ascii="宋体" w:hAnsi="宋体" w:cs="宋体"/>
          <w:color w:val="auto"/>
          <w:szCs w:val="24"/>
          <w:highlight w:val="none"/>
        </w:rPr>
      </w:pPr>
      <w:r>
        <w:rPr>
          <w:rFonts w:hint="eastAsia" w:ascii="宋体" w:hAnsi="宋体" w:cs="宋体"/>
          <w:color w:val="auto"/>
          <w:szCs w:val="24"/>
          <w:highlight w:val="none"/>
        </w:rPr>
        <w:t>承诺日期：年 月日</w:t>
      </w:r>
    </w:p>
    <w:p>
      <w:pPr>
        <w:tabs>
          <w:tab w:val="left" w:pos="-3780"/>
        </w:tabs>
        <w:spacing w:line="240" w:lineRule="auto"/>
        <w:rPr>
          <w:rFonts w:ascii="宋体" w:hAnsi="宋体" w:cs="宋体"/>
          <w:color w:val="auto"/>
          <w:szCs w:val="24"/>
          <w:highlight w:val="none"/>
          <w:lang w:val="en-GB"/>
        </w:rPr>
      </w:pPr>
    </w:p>
    <w:p>
      <w:pPr>
        <w:spacing w:line="240" w:lineRule="auto"/>
        <w:rPr>
          <w:rFonts w:ascii="宋体" w:hAnsi="宋体" w:cs="宋体"/>
          <w:b/>
          <w:color w:val="auto"/>
          <w:szCs w:val="24"/>
          <w:highlight w:val="none"/>
        </w:rPr>
      </w:pPr>
      <w:r>
        <w:rPr>
          <w:rFonts w:hint="eastAsia" w:ascii="宋体" w:hAnsi="宋体" w:cs="宋体"/>
          <w:b/>
          <w:color w:val="auto"/>
          <w:szCs w:val="24"/>
          <w:highlight w:val="none"/>
        </w:rPr>
        <w:t>说明及要求：本承诺函内容不得擅自删改。</w:t>
      </w:r>
    </w:p>
    <w:p>
      <w:pPr>
        <w:spacing w:line="360" w:lineRule="auto"/>
        <w:rPr>
          <w:rFonts w:ascii="宋体" w:hAnsi="宋体" w:cs="宋体"/>
          <w:color w:val="auto"/>
          <w:szCs w:val="24"/>
          <w:highlight w:val="none"/>
          <w:lang w:val="en-GB"/>
        </w:rPr>
      </w:pP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Cs w:val="24"/>
          <w:highlight w:val="none"/>
        </w:rPr>
        <w:t>3.2 法定代表人证明书及授权书</w:t>
      </w:r>
    </w:p>
    <w:p>
      <w:pPr>
        <w:pStyle w:val="8"/>
        <w:spacing w:before="0" w:after="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3.2.1 法定代表人证明书</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单位名称：</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地    址：</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成立时间：年月日</w:t>
      </w:r>
    </w:p>
    <w:p>
      <w:pPr>
        <w:spacing w:line="360" w:lineRule="auto"/>
        <w:rPr>
          <w:rFonts w:ascii="宋体" w:hAnsi="宋体" w:cs="宋体"/>
          <w:color w:val="auto"/>
          <w:szCs w:val="24"/>
          <w:highlight w:val="none"/>
        </w:rPr>
      </w:pPr>
      <w:r>
        <w:rPr>
          <w:rFonts w:hint="eastAsia" w:ascii="宋体" w:hAnsi="宋体" w:cs="宋体"/>
          <w:color w:val="auto"/>
          <w:szCs w:val="24"/>
          <w:highlight w:val="none"/>
        </w:rPr>
        <w:t>经营期限：</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姓    名：；身份证号码：；</w:t>
      </w:r>
    </w:p>
    <w:p>
      <w:pPr>
        <w:spacing w:line="360" w:lineRule="auto"/>
        <w:rPr>
          <w:rFonts w:ascii="宋体" w:hAnsi="宋体" w:cs="宋体"/>
          <w:color w:val="auto"/>
          <w:szCs w:val="24"/>
          <w:highlight w:val="none"/>
          <w:u w:val="single"/>
        </w:rPr>
      </w:pPr>
      <w:r>
        <w:rPr>
          <w:rFonts w:hint="eastAsia" w:ascii="宋体" w:hAnsi="宋体" w:cs="宋体"/>
          <w:color w:val="auto"/>
          <w:szCs w:val="24"/>
          <w:highlight w:val="none"/>
        </w:rPr>
        <w:t>联系电话（手机）：；职务：；</w:t>
      </w:r>
    </w:p>
    <w:p>
      <w:pPr>
        <w:spacing w:line="360" w:lineRule="auto"/>
        <w:rPr>
          <w:rFonts w:ascii="宋体" w:hAnsi="宋体" w:cs="宋体"/>
          <w:color w:val="auto"/>
          <w:szCs w:val="24"/>
          <w:highlight w:val="none"/>
          <w:u w:val="single"/>
        </w:rPr>
      </w:pPr>
      <w:r>
        <w:rPr>
          <w:rFonts w:hint="eastAsia" w:ascii="宋体" w:hAnsi="宋体" w:cs="宋体"/>
          <w:color w:val="auto"/>
          <w:szCs w:val="24"/>
          <w:highlight w:val="none"/>
        </w:rPr>
        <w:t>性别：；年龄：</w:t>
      </w:r>
    </w:p>
    <w:p>
      <w:pPr>
        <w:spacing w:line="360" w:lineRule="auto"/>
        <w:rPr>
          <w:rFonts w:ascii="宋体" w:hAnsi="宋体" w:cs="宋体"/>
          <w:color w:val="auto"/>
          <w:szCs w:val="24"/>
          <w:highlight w:val="none"/>
        </w:rPr>
      </w:pPr>
      <w:r>
        <w:rPr>
          <w:rFonts w:hint="eastAsia" w:ascii="宋体" w:hAnsi="宋体" w:cs="宋体"/>
          <w:color w:val="auto"/>
          <w:szCs w:val="24"/>
          <w:highlight w:val="none"/>
        </w:rPr>
        <w:t>系</w:t>
      </w:r>
      <w:r>
        <w:rPr>
          <w:rFonts w:hint="eastAsia" w:ascii="宋体" w:hAnsi="宋体" w:cs="宋体"/>
          <w:color w:val="auto"/>
          <w:szCs w:val="24"/>
          <w:highlight w:val="none"/>
          <w:u w:val="single"/>
        </w:rPr>
        <w:t xml:space="preserve">            （供应商单位名称）            </w:t>
      </w:r>
      <w:r>
        <w:rPr>
          <w:rFonts w:hint="eastAsia" w:ascii="宋体" w:hAnsi="宋体" w:cs="宋体"/>
          <w:color w:val="auto"/>
          <w:szCs w:val="24"/>
          <w:highlight w:val="none"/>
        </w:rPr>
        <w:t>的法定代表人。</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特此证明。</w:t>
      </w:r>
    </w:p>
    <w:p>
      <w:pPr>
        <w:spacing w:line="360" w:lineRule="auto"/>
        <w:rPr>
          <w:rFonts w:ascii="宋体" w:hAnsi="宋体" w:cs="宋体"/>
          <w:color w:val="auto"/>
          <w:szCs w:val="24"/>
          <w:highlight w:val="none"/>
        </w:rPr>
      </w:pPr>
    </w:p>
    <w:p>
      <w:pPr>
        <w:spacing w:after="156" w:afterLines="50" w:line="360" w:lineRule="auto"/>
        <w:rPr>
          <w:rFonts w:ascii="宋体" w:hAnsi="宋体" w:cs="宋体"/>
          <w:b/>
          <w:color w:val="auto"/>
          <w:szCs w:val="24"/>
          <w:highlight w:val="none"/>
        </w:rPr>
      </w:pPr>
      <w:r>
        <w:rPr>
          <w:rFonts w:hint="eastAsia" w:ascii="宋体" w:hAnsi="宋体" w:cs="宋体"/>
          <w:b/>
          <w:color w:val="auto"/>
          <w:szCs w:val="24"/>
          <w:highlight w:val="none"/>
          <w:lang w:val="en-GB"/>
        </w:rPr>
        <w:t>法定代表人身份证复印件：</w:t>
      </w:r>
    </w:p>
    <w:tbl>
      <w:tblPr>
        <w:tblStyle w:val="3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824" w:type="dxa"/>
            <w:vAlign w:val="center"/>
          </w:tcPr>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法定代表人</w:t>
            </w:r>
          </w:p>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第二代居民身份证复印件粘贴处</w:t>
            </w:r>
          </w:p>
          <w:p>
            <w:pPr>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（正面）</w:t>
            </w:r>
          </w:p>
          <w:p>
            <w:pPr>
              <w:spacing w:line="360" w:lineRule="auto"/>
              <w:jc w:val="left"/>
              <w:rPr>
                <w:rFonts w:ascii="宋体" w:hAnsi="宋体" w:cs="宋体"/>
                <w:color w:val="auto"/>
                <w:szCs w:val="24"/>
                <w:highlight w:val="none"/>
                <w:lang w:val="en-GB"/>
              </w:rPr>
            </w:pP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可选择以下方式贴上（任意一种）：</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1、以扫描件、电子版等方式贴在此处，再打印；</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2、剪下身份证复印件，粘贴在此处；</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3、另付页（复印件或扫描件，加盖公章）。</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注：粘贴时可覆盖线框。</w:t>
            </w:r>
          </w:p>
        </w:tc>
        <w:tc>
          <w:tcPr>
            <w:tcW w:w="4824" w:type="dxa"/>
            <w:vAlign w:val="center"/>
          </w:tcPr>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法定代表人</w:t>
            </w:r>
          </w:p>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第二代居民身份证复印件粘贴处</w:t>
            </w:r>
          </w:p>
          <w:p>
            <w:pPr>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（背面）</w:t>
            </w:r>
          </w:p>
          <w:p>
            <w:pPr>
              <w:spacing w:line="360" w:lineRule="auto"/>
              <w:jc w:val="center"/>
              <w:rPr>
                <w:rFonts w:ascii="宋体" w:hAnsi="宋体" w:cs="宋体"/>
                <w:color w:val="auto"/>
                <w:szCs w:val="24"/>
                <w:highlight w:val="none"/>
                <w:lang w:val="en-GB"/>
              </w:rPr>
            </w:pP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可选择以下方式贴上（任意一种）：</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1、以扫描件、电子版等方式贴在此处，再打印；</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2、剪下身份证复印件，粘贴在此处；</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3、另付页（复印件或扫描件，加盖公章）。</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GB"/>
              </w:rPr>
              <w:t>注：粘贴时可覆盖线框。</w:t>
            </w:r>
          </w:p>
        </w:tc>
      </w:tr>
    </w:tbl>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tabs>
          <w:tab w:val="left" w:pos="-3780"/>
        </w:tabs>
        <w:spacing w:line="36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承诺日期：年 月日</w:t>
      </w:r>
    </w:p>
    <w:p>
      <w:pPr>
        <w:pStyle w:val="8"/>
        <w:spacing w:before="0" w:after="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3.2.2 供应商授权书</w:t>
      </w:r>
    </w:p>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（注：若供应商“法定代表人”参加磋商和签署响应文件的不须提供该授权书）</w:t>
      </w:r>
    </w:p>
    <w:p>
      <w:pPr>
        <w:spacing w:line="360" w:lineRule="auto"/>
        <w:rPr>
          <w:rFonts w:ascii="宋体" w:hAnsi="宋体" w:cs="宋体"/>
          <w:b/>
          <w:color w:val="auto"/>
          <w:szCs w:val="24"/>
          <w:highlight w:val="none"/>
        </w:rPr>
      </w:pPr>
      <w:r>
        <w:rPr>
          <w:rFonts w:hint="eastAsia" w:ascii="宋体" w:hAnsi="宋体" w:cs="宋体"/>
          <w:b/>
          <w:color w:val="auto"/>
          <w:szCs w:val="24"/>
          <w:highlight w:val="none"/>
        </w:rPr>
        <w:t xml:space="preserve">致  </w:t>
      </w:r>
      <w:r>
        <w:rPr>
          <w:rFonts w:hint="eastAsia" w:ascii="宋体" w:hAnsi="宋体" w:cs="宋体"/>
          <w:b/>
          <w:color w:val="auto"/>
          <w:szCs w:val="24"/>
          <w:highlight w:val="none"/>
          <w:u w:val="single"/>
          <w:lang w:eastAsia="zh-CN"/>
        </w:rPr>
        <w:t>佛山市公安局禅城分局</w:t>
      </w:r>
      <w:r>
        <w:rPr>
          <w:rFonts w:hint="eastAsia" w:ascii="宋体" w:hAnsi="宋体" w:cs="宋体"/>
          <w:b/>
          <w:color w:val="auto"/>
          <w:szCs w:val="24"/>
          <w:highlight w:val="none"/>
        </w:rPr>
        <w:t>：</w:t>
      </w:r>
    </w:p>
    <w:p>
      <w:pPr>
        <w:spacing w:line="240" w:lineRule="auto"/>
        <w:ind w:firstLine="480" w:firstLineChars="200"/>
        <w:jc w:val="left"/>
        <w:rPr>
          <w:rFonts w:ascii="宋体" w:hAnsi="宋体" w:cs="宋体"/>
          <w:color w:val="auto"/>
          <w:szCs w:val="24"/>
          <w:highlight w:val="none"/>
        </w:rPr>
      </w:pPr>
      <w:r>
        <w:rPr>
          <w:rFonts w:hint="eastAsia" w:ascii="宋体" w:hAnsi="宋体" w:cs="宋体"/>
          <w:color w:val="auto"/>
          <w:szCs w:val="24"/>
          <w:highlight w:val="none"/>
          <w:lang w:val="en-GB"/>
        </w:rPr>
        <w:t>我方现授权委任以下之在职员工，作为我方唯一全权代表，亲自出席参与贵方承办的政府采购项目磋商，对该代表人所提供、签署的一切文书均视为符合我方的合法利益和真实意愿，我方愿为其磋商行为承担全部责任。</w:t>
      </w:r>
    </w:p>
    <w:p>
      <w:pPr>
        <w:spacing w:line="360" w:lineRule="auto"/>
        <w:ind w:firstLine="482" w:firstLineChars="200"/>
        <w:rPr>
          <w:rFonts w:ascii="宋体" w:hAnsi="宋体" w:cs="宋体"/>
          <w:color w:val="auto"/>
          <w:szCs w:val="24"/>
          <w:highlight w:val="none"/>
        </w:rPr>
      </w:pPr>
      <w:r>
        <w:rPr>
          <w:rFonts w:hint="eastAsia" w:ascii="宋体" w:hAnsi="宋体" w:cs="宋体"/>
          <w:b/>
          <w:color w:val="auto"/>
          <w:szCs w:val="24"/>
          <w:highlight w:val="none"/>
          <w:lang w:val="en-GB"/>
        </w:rPr>
        <w:t>采购项目名称：</w:t>
      </w:r>
      <w:r>
        <w:rPr>
          <w:rFonts w:hint="eastAsia" w:ascii="宋体" w:hAnsi="宋体" w:cs="宋体"/>
          <w:color w:val="auto"/>
          <w:szCs w:val="24"/>
          <w:highlight w:val="none"/>
          <w:lang w:val="en-GB" w:eastAsia="zh-CN"/>
        </w:rPr>
        <w:t>佛山市公安局禅城分局2024年度车辆保险项目</w:t>
      </w:r>
      <w:r>
        <w:rPr>
          <w:rFonts w:hint="eastAsia" w:ascii="宋体" w:hAnsi="宋体" w:cs="宋体"/>
          <w:color w:val="auto"/>
          <w:szCs w:val="24"/>
          <w:highlight w:val="none"/>
          <w:lang w:val="en-GB"/>
        </w:rPr>
        <w:t xml:space="preserve"> </w:t>
      </w:r>
    </w:p>
    <w:p>
      <w:pPr>
        <w:spacing w:line="360" w:lineRule="auto"/>
        <w:ind w:firstLine="482" w:firstLineChars="200"/>
        <w:rPr>
          <w:rFonts w:hint="eastAsia" w:ascii="宋体" w:hAnsi="宋体" w:eastAsia="宋体" w:cs="宋体"/>
          <w:color w:val="auto"/>
          <w:szCs w:val="24"/>
          <w:highlight w:val="none"/>
          <w:lang w:eastAsia="zh-CN"/>
        </w:rPr>
      </w:pPr>
      <w:r>
        <w:rPr>
          <w:rFonts w:hint="eastAsia" w:ascii="宋体" w:hAnsi="宋体" w:cs="宋体"/>
          <w:b/>
          <w:color w:val="auto"/>
          <w:szCs w:val="24"/>
          <w:highlight w:val="none"/>
        </w:rPr>
        <w:t>采购项目编号：</w:t>
      </w:r>
      <w:r>
        <w:rPr>
          <w:rFonts w:hint="eastAsia" w:ascii="宋体" w:hAnsi="宋体" w:cs="宋体"/>
          <w:color w:val="auto"/>
          <w:szCs w:val="24"/>
          <w:highlight w:val="none"/>
          <w:lang w:eastAsia="zh-CN"/>
        </w:rPr>
        <w:t>HRC23FSCS1001</w:t>
      </w:r>
    </w:p>
    <w:p>
      <w:pPr>
        <w:spacing w:line="360" w:lineRule="auto"/>
        <w:ind w:left="1661" w:leftChars="200" w:hanging="1181" w:hangingChars="490"/>
        <w:rPr>
          <w:rFonts w:ascii="宋体" w:hAnsi="宋体" w:cs="宋体"/>
          <w:color w:val="auto"/>
          <w:szCs w:val="24"/>
          <w:highlight w:val="none"/>
        </w:rPr>
      </w:pPr>
      <w:r>
        <w:rPr>
          <w:rFonts w:hint="eastAsia" w:ascii="宋体" w:hAnsi="宋体" w:cs="宋体"/>
          <w:b/>
          <w:color w:val="auto"/>
          <w:szCs w:val="24"/>
          <w:highlight w:val="none"/>
        </w:rPr>
        <w:t>授权权限：</w:t>
      </w:r>
      <w:r>
        <w:rPr>
          <w:rFonts w:hint="eastAsia" w:ascii="宋体" w:hAnsi="宋体" w:cs="宋体"/>
          <w:color w:val="auto"/>
          <w:szCs w:val="24"/>
          <w:highlight w:val="none"/>
        </w:rPr>
        <w:t>全权代表我方参与上述项目的磋商、递交响应文件；按照采购人和磋商小组的要求现场处理磋商相关事宜；负责提供与签署确认一切文书资料，以及向贵方递交任何补充承诺，其签字与我方公章具有相同的法律效力。</w:t>
      </w:r>
    </w:p>
    <w:p>
      <w:pPr>
        <w:spacing w:line="360" w:lineRule="auto"/>
        <w:ind w:left="1661" w:leftChars="200" w:hanging="1181" w:hangingChars="490"/>
        <w:rPr>
          <w:rFonts w:ascii="宋体" w:hAnsi="宋体" w:cs="宋体"/>
          <w:color w:val="auto"/>
          <w:szCs w:val="24"/>
          <w:highlight w:val="none"/>
        </w:rPr>
      </w:pPr>
      <w:r>
        <w:rPr>
          <w:rFonts w:hint="eastAsia" w:ascii="宋体" w:hAnsi="宋体" w:cs="宋体"/>
          <w:b/>
          <w:color w:val="auto"/>
          <w:szCs w:val="24"/>
          <w:highlight w:val="none"/>
        </w:rPr>
        <w:t>有效期限：</w:t>
      </w:r>
      <w:r>
        <w:rPr>
          <w:rFonts w:hint="eastAsia" w:ascii="宋体" w:hAnsi="宋体" w:cs="宋体"/>
          <w:color w:val="auto"/>
          <w:szCs w:val="24"/>
          <w:highlight w:val="none"/>
        </w:rPr>
        <w:t>与本项目</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文件中标注的磋商有效期相同，自我方法定代表人签字（或签章）并加盖公章之日起生效。</w:t>
      </w:r>
    </w:p>
    <w:tbl>
      <w:tblPr>
        <w:tblStyle w:val="31"/>
        <w:tblW w:w="9490" w:type="dxa"/>
        <w:jc w:val="center"/>
        <w:tblLayout w:type="fixed"/>
        <w:tblCellMar>
          <w:top w:w="0" w:type="dxa"/>
          <w:left w:w="108" w:type="dxa"/>
          <w:bottom w:w="0" w:type="dxa"/>
          <w:right w:w="108" w:type="dxa"/>
        </w:tblCellMar>
      </w:tblPr>
      <w:tblGrid>
        <w:gridCol w:w="4994"/>
        <w:gridCol w:w="4496"/>
      </w:tblGrid>
      <w:tr>
        <w:tblPrEx>
          <w:tblCellMar>
            <w:top w:w="0" w:type="dxa"/>
            <w:left w:w="108" w:type="dxa"/>
            <w:bottom w:w="0" w:type="dxa"/>
            <w:right w:w="108" w:type="dxa"/>
          </w:tblCellMar>
        </w:tblPrEx>
        <w:trPr>
          <w:trHeight w:val="423" w:hRule="atLeast"/>
          <w:jc w:val="center"/>
        </w:trPr>
        <w:tc>
          <w:tcPr>
            <w:tcW w:w="9490" w:type="dxa"/>
            <w:gridSpan w:val="2"/>
            <w:vAlign w:val="bottom"/>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公司名称：</w:t>
            </w:r>
            <w:r>
              <w:rPr>
                <w:rFonts w:hint="eastAsia" w:ascii="宋体" w:hAnsi="宋体" w:cs="宋体"/>
                <w:color w:val="auto"/>
                <w:szCs w:val="24"/>
                <w:highlight w:val="none"/>
                <w:u w:val="single"/>
                <w:lang w:val="en-GB"/>
              </w:rPr>
              <w:t xml:space="preserve">                                                           （公章）</w:t>
            </w:r>
          </w:p>
        </w:tc>
      </w:tr>
      <w:tr>
        <w:tblPrEx>
          <w:tblCellMar>
            <w:top w:w="0" w:type="dxa"/>
            <w:left w:w="108" w:type="dxa"/>
            <w:bottom w:w="0" w:type="dxa"/>
            <w:right w:w="108" w:type="dxa"/>
          </w:tblCellMar>
        </w:tblPrEx>
        <w:trPr>
          <w:trHeight w:val="423" w:hRule="atLeast"/>
          <w:jc w:val="center"/>
        </w:trPr>
        <w:tc>
          <w:tcPr>
            <w:tcW w:w="4994"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全权代表：</w:t>
            </w:r>
          </w:p>
        </w:tc>
        <w:tc>
          <w:tcPr>
            <w:tcW w:w="4496"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法定代表人：</w:t>
            </w:r>
            <w:r>
              <w:rPr>
                <w:rFonts w:hint="eastAsia" w:ascii="宋体" w:hAnsi="宋体" w:cs="宋体"/>
                <w:color w:val="auto"/>
                <w:szCs w:val="24"/>
                <w:highlight w:val="none"/>
                <w:u w:val="single"/>
                <w:lang w:val="en-GB"/>
              </w:rPr>
              <w:t xml:space="preserve">         （签字或签章）</w:t>
            </w:r>
          </w:p>
        </w:tc>
      </w:tr>
      <w:tr>
        <w:tblPrEx>
          <w:tblCellMar>
            <w:top w:w="0" w:type="dxa"/>
            <w:left w:w="108" w:type="dxa"/>
            <w:bottom w:w="0" w:type="dxa"/>
            <w:right w:w="108" w:type="dxa"/>
          </w:tblCellMar>
        </w:tblPrEx>
        <w:trPr>
          <w:trHeight w:val="423" w:hRule="atLeast"/>
          <w:jc w:val="center"/>
        </w:trPr>
        <w:tc>
          <w:tcPr>
            <w:tcW w:w="4994"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身份证号码：</w:t>
            </w:r>
          </w:p>
        </w:tc>
        <w:tc>
          <w:tcPr>
            <w:tcW w:w="4496"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联系电话：</w:t>
            </w:r>
          </w:p>
        </w:tc>
      </w:tr>
      <w:tr>
        <w:tblPrEx>
          <w:tblCellMar>
            <w:top w:w="0" w:type="dxa"/>
            <w:left w:w="108" w:type="dxa"/>
            <w:bottom w:w="0" w:type="dxa"/>
            <w:right w:w="108" w:type="dxa"/>
          </w:tblCellMar>
        </w:tblPrEx>
        <w:trPr>
          <w:trHeight w:val="423" w:hRule="atLeast"/>
          <w:jc w:val="center"/>
        </w:trPr>
        <w:tc>
          <w:tcPr>
            <w:tcW w:w="4994"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职    务：</w:t>
            </w:r>
          </w:p>
        </w:tc>
        <w:tc>
          <w:tcPr>
            <w:tcW w:w="4496" w:type="dxa"/>
            <w:vAlign w:val="center"/>
          </w:tcPr>
          <w:p>
            <w:pPr>
              <w:spacing w:line="360" w:lineRule="auto"/>
              <w:jc w:val="left"/>
              <w:rPr>
                <w:rFonts w:ascii="宋体" w:hAnsi="宋体" w:cs="宋体"/>
                <w:color w:val="auto"/>
                <w:szCs w:val="24"/>
                <w:highlight w:val="none"/>
                <w:lang w:val="en-GB"/>
              </w:rPr>
            </w:pPr>
          </w:p>
        </w:tc>
      </w:tr>
      <w:tr>
        <w:tblPrEx>
          <w:tblCellMar>
            <w:top w:w="0" w:type="dxa"/>
            <w:left w:w="108" w:type="dxa"/>
            <w:bottom w:w="0" w:type="dxa"/>
            <w:right w:w="108" w:type="dxa"/>
          </w:tblCellMar>
        </w:tblPrEx>
        <w:trPr>
          <w:trHeight w:val="423" w:hRule="atLeast"/>
          <w:jc w:val="center"/>
        </w:trPr>
        <w:tc>
          <w:tcPr>
            <w:tcW w:w="4994"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联系电话：</w:t>
            </w:r>
          </w:p>
        </w:tc>
        <w:tc>
          <w:tcPr>
            <w:tcW w:w="4496" w:type="dxa"/>
            <w:vAlign w:val="center"/>
          </w:tcPr>
          <w:p>
            <w:pPr>
              <w:spacing w:line="360" w:lineRule="auto"/>
              <w:jc w:val="left"/>
              <w:rPr>
                <w:rFonts w:ascii="宋体" w:hAnsi="宋体" w:cs="宋体"/>
                <w:color w:val="auto"/>
                <w:szCs w:val="24"/>
                <w:highlight w:val="none"/>
                <w:lang w:val="en-GB"/>
              </w:rPr>
            </w:pPr>
          </w:p>
        </w:tc>
      </w:tr>
      <w:tr>
        <w:tblPrEx>
          <w:tblCellMar>
            <w:top w:w="0" w:type="dxa"/>
            <w:left w:w="108" w:type="dxa"/>
            <w:bottom w:w="0" w:type="dxa"/>
            <w:right w:w="108" w:type="dxa"/>
          </w:tblCellMar>
        </w:tblPrEx>
        <w:trPr>
          <w:trHeight w:val="415" w:hRule="atLeast"/>
          <w:jc w:val="center"/>
        </w:trPr>
        <w:tc>
          <w:tcPr>
            <w:tcW w:w="4994" w:type="dxa"/>
            <w:vAlign w:val="center"/>
          </w:tcPr>
          <w:p>
            <w:pPr>
              <w:spacing w:line="360" w:lineRule="auto"/>
              <w:jc w:val="left"/>
              <w:rPr>
                <w:rFonts w:ascii="宋体" w:hAnsi="宋体" w:cs="宋体"/>
                <w:color w:val="auto"/>
                <w:szCs w:val="24"/>
                <w:highlight w:val="none"/>
                <w:lang w:val="en-GB"/>
              </w:rPr>
            </w:pPr>
          </w:p>
        </w:tc>
        <w:tc>
          <w:tcPr>
            <w:tcW w:w="4496" w:type="dxa"/>
            <w:vAlign w:val="center"/>
          </w:tcPr>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签字生效日期：    年    月    日</w:t>
            </w:r>
          </w:p>
        </w:tc>
      </w:tr>
    </w:tbl>
    <w:p>
      <w:pPr>
        <w:spacing w:line="360" w:lineRule="auto"/>
        <w:rPr>
          <w:rFonts w:ascii="宋体" w:hAnsi="宋体" w:cs="宋体"/>
          <w:b/>
          <w:color w:val="auto"/>
          <w:szCs w:val="24"/>
          <w:highlight w:val="none"/>
        </w:rPr>
      </w:pPr>
      <w:r>
        <w:rPr>
          <w:rFonts w:hint="eastAsia" w:ascii="宋体" w:hAnsi="宋体" w:cs="宋体"/>
          <w:b/>
          <w:color w:val="auto"/>
          <w:szCs w:val="24"/>
          <w:highlight w:val="none"/>
          <w:lang w:val="en-GB"/>
        </w:rPr>
        <w:t>全权代表身份证复印件：</w:t>
      </w:r>
    </w:p>
    <w:tbl>
      <w:tblPr>
        <w:tblStyle w:val="31"/>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5071" w:type="dxa"/>
            <w:vAlign w:val="center"/>
          </w:tcPr>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全权代表</w:t>
            </w:r>
          </w:p>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第二代居民身份证复印件粘贴处（正面）</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可选择以下方式贴上（任意一种）：</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1、以扫描件、电子版等方式贴在此处，再打印；</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2、剪下身份证复印件，粘贴在此处；</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3、另付页（复印件或扫描件，加盖公章）。</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GB"/>
              </w:rPr>
              <w:t>注：粘贴时可覆盖线框。</w:t>
            </w:r>
          </w:p>
        </w:tc>
        <w:tc>
          <w:tcPr>
            <w:tcW w:w="5123" w:type="dxa"/>
            <w:vAlign w:val="center"/>
          </w:tcPr>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全权代表</w:t>
            </w:r>
          </w:p>
          <w:p>
            <w:pPr>
              <w:snapToGrid w:val="0"/>
              <w:spacing w:line="360" w:lineRule="auto"/>
              <w:jc w:val="center"/>
              <w:rPr>
                <w:rFonts w:ascii="宋体" w:hAnsi="宋体" w:cs="宋体"/>
                <w:color w:val="auto"/>
                <w:szCs w:val="24"/>
                <w:highlight w:val="none"/>
                <w:lang w:val="en-GB"/>
              </w:rPr>
            </w:pPr>
            <w:r>
              <w:rPr>
                <w:rFonts w:hint="eastAsia" w:ascii="宋体" w:hAnsi="宋体" w:cs="宋体"/>
                <w:color w:val="auto"/>
                <w:szCs w:val="24"/>
                <w:highlight w:val="none"/>
                <w:lang w:val="en-GB"/>
              </w:rPr>
              <w:t>第二代居民身份证复印件粘贴处（背面）</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 xml:space="preserve">可选择以下方式贴上（任意一种）： </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1、以扫描件、电子版等方式贴在此处，再打印；</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2、剪下身份证复印件，粘贴在此处；</w:t>
            </w:r>
          </w:p>
          <w:p>
            <w:pPr>
              <w:spacing w:line="36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3、另付页（复印件或扫描件，加盖公章）。</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GB"/>
              </w:rPr>
              <w:t>注：粘贴时可覆盖线框。</w:t>
            </w:r>
          </w:p>
        </w:tc>
      </w:tr>
    </w:tbl>
    <w:p>
      <w:pPr>
        <w:spacing w:line="360" w:lineRule="auto"/>
        <w:ind w:left="843" w:hanging="843" w:hangingChars="350"/>
        <w:rPr>
          <w:rFonts w:ascii="宋体" w:hAnsi="宋体" w:cs="宋体"/>
          <w:b/>
          <w:color w:val="auto"/>
          <w:szCs w:val="24"/>
          <w:highlight w:val="none"/>
          <w:u w:val="double"/>
        </w:rPr>
      </w:pPr>
      <w:r>
        <w:rPr>
          <w:rFonts w:hint="eastAsia" w:ascii="宋体" w:hAnsi="宋体" w:cs="宋体"/>
          <w:b/>
          <w:color w:val="auto"/>
          <w:szCs w:val="24"/>
          <w:highlight w:val="none"/>
          <w:u w:val="double"/>
        </w:rPr>
        <w:t>说明及要求：</w:t>
      </w:r>
    </w:p>
    <w:p>
      <w:pPr>
        <w:spacing w:line="360" w:lineRule="auto"/>
        <w:rPr>
          <w:rFonts w:ascii="宋体" w:hAnsi="宋体" w:cs="宋体"/>
          <w:color w:val="auto"/>
          <w:szCs w:val="24"/>
          <w:highlight w:val="none"/>
        </w:rPr>
      </w:pPr>
      <w:r>
        <w:rPr>
          <w:rFonts w:hint="eastAsia" w:ascii="宋体" w:hAnsi="宋体" w:cs="宋体"/>
          <w:color w:val="auto"/>
          <w:szCs w:val="24"/>
          <w:highlight w:val="none"/>
        </w:rPr>
        <w:t>1. 本授权书内容不得擅自修改；</w:t>
      </w:r>
    </w:p>
    <w:p>
      <w:pPr>
        <w:spacing w:line="360" w:lineRule="auto"/>
        <w:rPr>
          <w:rFonts w:ascii="宋体" w:hAnsi="宋体" w:cs="宋体"/>
          <w:color w:val="auto"/>
          <w:szCs w:val="24"/>
          <w:highlight w:val="none"/>
        </w:rPr>
      </w:pPr>
      <w:r>
        <w:rPr>
          <w:rFonts w:hint="eastAsia" w:ascii="宋体" w:hAnsi="宋体" w:cs="宋体"/>
          <w:color w:val="auto"/>
          <w:szCs w:val="24"/>
          <w:highlight w:val="none"/>
        </w:rPr>
        <w:t>2. 供应商填写的内容必须真实、清楚、无涂改，全权代表无权转委；</w:t>
      </w:r>
    </w:p>
    <w:p>
      <w:pPr>
        <w:spacing w:line="360" w:lineRule="auto"/>
        <w:ind w:left="720" w:hanging="720" w:hangingChars="300"/>
        <w:rPr>
          <w:rFonts w:ascii="宋体" w:hAnsi="宋体" w:cs="宋体"/>
          <w:color w:val="auto"/>
          <w:sz w:val="24"/>
          <w:szCs w:val="24"/>
          <w:highlight w:val="none"/>
        </w:rPr>
      </w:pPr>
      <w:r>
        <w:rPr>
          <w:rFonts w:hint="eastAsia" w:ascii="宋体" w:hAnsi="宋体" w:cs="宋体"/>
          <w:color w:val="auto"/>
          <w:szCs w:val="24"/>
          <w:highlight w:val="none"/>
        </w:rPr>
        <w:t>3. 本授权书中的全权代表描述不一致者，均已“全权代表身份证复印件”中的信息为准。</w:t>
      </w: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6"/>
        <w:spacing w:line="360" w:lineRule="auto"/>
        <w:jc w:val="center"/>
        <w:rPr>
          <w:rFonts w:ascii="宋体" w:hAnsi="宋体" w:cs="宋体"/>
          <w:color w:val="auto"/>
          <w:sz w:val="48"/>
          <w:szCs w:val="48"/>
          <w:highlight w:val="none"/>
        </w:rPr>
      </w:pPr>
      <w:bookmarkStart w:id="132" w:name="_Toc14878"/>
      <w:r>
        <w:rPr>
          <w:rFonts w:hint="eastAsia" w:ascii="宋体" w:hAnsi="宋体" w:cs="宋体"/>
          <w:color w:val="auto"/>
          <w:sz w:val="48"/>
          <w:szCs w:val="48"/>
          <w:highlight w:val="none"/>
        </w:rPr>
        <w:t>第四章  商务部分</w:t>
      </w:r>
      <w:bookmarkEnd w:id="132"/>
    </w:p>
    <w:p>
      <w:pPr>
        <w:spacing w:line="360" w:lineRule="auto"/>
        <w:rPr>
          <w:rFonts w:ascii="宋体" w:hAnsi="宋体" w:cs="宋体"/>
          <w:b/>
          <w:color w:val="auto"/>
          <w:szCs w:val="24"/>
          <w:highlight w:val="none"/>
        </w:rPr>
      </w:pPr>
    </w:p>
    <w:p>
      <w:pPr>
        <w:spacing w:line="360" w:lineRule="auto"/>
        <w:rPr>
          <w:rFonts w:ascii="宋体" w:hAnsi="宋体" w:cs="宋体"/>
          <w:color w:val="auto"/>
          <w:szCs w:val="24"/>
          <w:highlight w:val="none"/>
        </w:rPr>
      </w:pP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Cs w:val="24"/>
          <w:highlight w:val="none"/>
        </w:rPr>
        <w:t>4.1 商务条款响应表</w:t>
      </w:r>
    </w:p>
    <w:tbl>
      <w:tblPr>
        <w:tblStyle w:val="31"/>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39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08" w:type="dxa"/>
            <w:gridSpan w:val="3"/>
            <w:shd w:val="clear" w:color="auto" w:fill="F2F2F2"/>
            <w:vAlign w:val="center"/>
          </w:tcPr>
          <w:p>
            <w:pPr>
              <w:pStyle w:val="76"/>
              <w:keepNext w:val="0"/>
              <w:adjustRightInd/>
              <w:spacing w:before="0" w:after="0" w:line="360" w:lineRule="auto"/>
              <w:jc w:val="left"/>
              <w:textAlignment w:val="auto"/>
              <w:rPr>
                <w:rFonts w:ascii="宋体" w:hAnsi="宋体" w:cs="宋体"/>
                <w:b/>
                <w:color w:val="auto"/>
                <w:spacing w:val="0"/>
                <w:kern w:val="2"/>
                <w:szCs w:val="24"/>
                <w:highlight w:val="none"/>
              </w:rPr>
            </w:pPr>
            <w:r>
              <w:rPr>
                <w:rFonts w:hint="eastAsia" w:ascii="宋体" w:hAnsi="宋体" w:cs="宋体"/>
                <w:b/>
                <w:color w:val="auto"/>
                <w:spacing w:val="0"/>
                <w:kern w:val="2"/>
                <w:szCs w:val="24"/>
                <w:highlight w:val="none"/>
              </w:rPr>
              <w:t>一、商务条款响应情况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2" w:type="dxa"/>
            <w:shd w:val="clear" w:color="auto" w:fill="F2F2F2"/>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序号</w:t>
            </w:r>
          </w:p>
        </w:tc>
        <w:tc>
          <w:tcPr>
            <w:tcW w:w="7395" w:type="dxa"/>
            <w:shd w:val="clear" w:color="auto" w:fill="F2F2F2"/>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条款要求</w:t>
            </w:r>
          </w:p>
        </w:tc>
        <w:tc>
          <w:tcPr>
            <w:tcW w:w="1281" w:type="dxa"/>
            <w:shd w:val="clear" w:color="auto" w:fill="F2F2F2"/>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完全理解并接受对合格供应商、合格的产品、工程和服务要求</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2</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完全理解并接受对供应商的各项须知、规约要求和责任义务</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3</w:t>
            </w:r>
          </w:p>
        </w:tc>
        <w:tc>
          <w:tcPr>
            <w:tcW w:w="7395" w:type="dxa"/>
            <w:vAlign w:val="center"/>
          </w:tcPr>
          <w:p>
            <w:pPr>
              <w:spacing w:line="360" w:lineRule="auto"/>
              <w:rPr>
                <w:rFonts w:ascii="宋体" w:hAnsi="宋体" w:cs="宋体"/>
                <w:b/>
                <w:color w:val="auto"/>
                <w:szCs w:val="24"/>
                <w:highlight w:val="none"/>
              </w:rPr>
            </w:pPr>
            <w:r>
              <w:rPr>
                <w:rFonts w:hint="eastAsia" w:ascii="宋体" w:hAnsi="宋体" w:cs="宋体"/>
                <w:b/>
                <w:color w:val="auto"/>
                <w:szCs w:val="24"/>
                <w:highlight w:val="none"/>
              </w:rPr>
              <w:t>同意接受合同范本所列述的各项条款</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4</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同意按本项目要求缴付相关款项</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5</w:t>
            </w:r>
          </w:p>
        </w:tc>
        <w:tc>
          <w:tcPr>
            <w:tcW w:w="7395" w:type="dxa"/>
            <w:vAlign w:val="center"/>
          </w:tcPr>
          <w:p>
            <w:pPr>
              <w:spacing w:line="360" w:lineRule="auto"/>
              <w:rPr>
                <w:rFonts w:ascii="宋体" w:hAnsi="宋体" w:cs="宋体"/>
                <w:b/>
                <w:color w:val="auto"/>
                <w:szCs w:val="24"/>
                <w:highlight w:val="none"/>
              </w:rPr>
            </w:pPr>
            <w:r>
              <w:rPr>
                <w:rFonts w:hint="eastAsia" w:ascii="宋体" w:hAnsi="宋体" w:cs="宋体"/>
                <w:b/>
                <w:color w:val="auto"/>
                <w:szCs w:val="24"/>
                <w:highlight w:val="none"/>
              </w:rPr>
              <w:t>竞争性磋商文件中的全部商务条款均能完全响应</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6</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同意接受采购人发布的补充通知中各项商务要求（如有）</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7</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同意采购人以任何形式对我方提供的商务部分内容的真实性和有效性进行公开审查验证</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8</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磋商有效期接受并同意磋商文件的要求。</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9</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报价内容均涵盖报价要求之一切费用和伴随服务</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32"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10</w:t>
            </w:r>
          </w:p>
        </w:tc>
        <w:tc>
          <w:tcPr>
            <w:tcW w:w="7395" w:type="dxa"/>
            <w:vAlign w:val="center"/>
          </w:tcPr>
          <w:p>
            <w:pPr>
              <w:spacing w:line="360" w:lineRule="auto"/>
              <w:rPr>
                <w:rFonts w:ascii="宋体" w:hAnsi="宋体" w:cs="宋体"/>
                <w:color w:val="auto"/>
                <w:szCs w:val="24"/>
                <w:highlight w:val="none"/>
              </w:rPr>
            </w:pPr>
            <w:r>
              <w:rPr>
                <w:rFonts w:hint="eastAsia" w:ascii="宋体" w:hAnsi="宋体" w:cs="宋体"/>
                <w:b/>
                <w:color w:val="auto"/>
                <w:szCs w:val="24"/>
                <w:highlight w:val="none"/>
              </w:rPr>
              <w:t>完全响应磋商文件以上除外的全部商务条款（含“★”项（如有））</w:t>
            </w:r>
          </w:p>
        </w:tc>
        <w:tc>
          <w:tcPr>
            <w:tcW w:w="1281" w:type="dxa"/>
            <w:vAlign w:val="center"/>
          </w:tcPr>
          <w:p>
            <w:pPr>
              <w:pStyle w:val="76"/>
              <w:keepNext w:val="0"/>
              <w:adjustRightInd/>
              <w:spacing w:before="0" w:after="0" w:line="360" w:lineRule="auto"/>
              <w:textAlignment w:val="auto"/>
              <w:rPr>
                <w:rFonts w:ascii="宋体" w:hAnsi="宋体" w:cs="宋体"/>
                <w:b/>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08" w:type="dxa"/>
            <w:gridSpan w:val="3"/>
            <w:shd w:val="clear" w:color="auto" w:fill="F2F2F2"/>
            <w:vAlign w:val="center"/>
          </w:tcPr>
          <w:p>
            <w:pPr>
              <w:pStyle w:val="76"/>
              <w:keepNext w:val="0"/>
              <w:adjustRightInd/>
              <w:spacing w:before="0" w:after="0" w:line="360" w:lineRule="auto"/>
              <w:jc w:val="left"/>
              <w:textAlignment w:val="auto"/>
              <w:rPr>
                <w:rFonts w:ascii="宋体" w:hAnsi="宋体" w:cs="宋体"/>
                <w:b/>
                <w:color w:val="auto"/>
                <w:spacing w:val="0"/>
                <w:kern w:val="2"/>
                <w:szCs w:val="24"/>
                <w:highlight w:val="none"/>
              </w:rPr>
            </w:pPr>
            <w:r>
              <w:rPr>
                <w:rFonts w:hint="eastAsia" w:ascii="宋体" w:hAnsi="宋体" w:cs="宋体"/>
                <w:b/>
                <w:color w:val="auto"/>
                <w:spacing w:val="0"/>
                <w:kern w:val="2"/>
                <w:szCs w:val="24"/>
                <w:highlight w:val="none"/>
              </w:rPr>
              <w:t>二、商务条款偏离情况说明（如有）：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8" w:type="dxa"/>
            <w:gridSpan w:val="3"/>
            <w:vAlign w:val="center"/>
          </w:tcPr>
          <w:p>
            <w:pPr>
              <w:pStyle w:val="76"/>
              <w:keepNext w:val="0"/>
              <w:adjustRightInd/>
              <w:spacing w:before="0" w:after="0" w:line="360" w:lineRule="auto"/>
              <w:jc w:val="left"/>
              <w:textAlignment w:val="auto"/>
              <w:rPr>
                <w:rFonts w:ascii="宋体" w:hAnsi="宋体" w:cs="宋体"/>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08" w:type="dxa"/>
            <w:gridSpan w:val="3"/>
            <w:shd w:val="clear" w:color="auto" w:fill="F2F2F2"/>
            <w:vAlign w:val="center"/>
          </w:tcPr>
          <w:p>
            <w:pPr>
              <w:pStyle w:val="76"/>
              <w:keepNext w:val="0"/>
              <w:adjustRightInd/>
              <w:spacing w:before="0" w:after="0" w:line="360" w:lineRule="auto"/>
              <w:jc w:val="left"/>
              <w:textAlignment w:val="auto"/>
              <w:rPr>
                <w:rFonts w:ascii="宋体" w:hAnsi="宋体" w:cs="宋体"/>
                <w:b/>
                <w:color w:val="auto"/>
                <w:spacing w:val="0"/>
                <w:kern w:val="2"/>
                <w:szCs w:val="24"/>
                <w:highlight w:val="none"/>
              </w:rPr>
            </w:pPr>
            <w:r>
              <w:rPr>
                <w:rFonts w:hint="eastAsia" w:ascii="宋体" w:hAnsi="宋体" w:cs="宋体"/>
                <w:b/>
                <w:color w:val="auto"/>
                <w:spacing w:val="0"/>
                <w:kern w:val="2"/>
                <w:szCs w:val="24"/>
                <w:highlight w:val="none"/>
              </w:rPr>
              <w:t>三、不同意公开的商务部分内容（如有）：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708" w:type="dxa"/>
            <w:gridSpan w:val="3"/>
            <w:vAlign w:val="center"/>
          </w:tcPr>
          <w:p>
            <w:pPr>
              <w:pStyle w:val="76"/>
              <w:keepNext w:val="0"/>
              <w:adjustRightInd/>
              <w:spacing w:before="0" w:after="0" w:line="360" w:lineRule="auto"/>
              <w:jc w:val="left"/>
              <w:textAlignment w:val="auto"/>
              <w:rPr>
                <w:rFonts w:ascii="宋体" w:hAnsi="宋体" w:cs="宋体"/>
                <w:color w:val="auto"/>
                <w:spacing w:val="0"/>
                <w:kern w:val="2"/>
                <w:szCs w:val="24"/>
                <w:highlight w:val="none"/>
              </w:rPr>
            </w:pPr>
          </w:p>
        </w:tc>
      </w:tr>
    </w:tbl>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填表要求：</w:t>
      </w:r>
    </w:p>
    <w:p>
      <w:pPr>
        <w:tabs>
          <w:tab w:val="left" w:pos="540"/>
        </w:tabs>
        <w:snapToGrid w:val="0"/>
        <w:spacing w:line="240" w:lineRule="auto"/>
        <w:jc w:val="left"/>
        <w:rPr>
          <w:rFonts w:ascii="宋体" w:hAnsi="宋体" w:cs="宋体"/>
          <w:color w:val="auto"/>
          <w:szCs w:val="24"/>
          <w:highlight w:val="none"/>
          <w:lang w:val="en-GB"/>
        </w:rPr>
      </w:pPr>
      <w:r>
        <w:rPr>
          <w:rFonts w:hint="eastAsia" w:ascii="宋体" w:hAnsi="宋体" w:cs="宋体"/>
          <w:color w:val="auto"/>
          <w:szCs w:val="24"/>
          <w:highlight w:val="none"/>
          <w:lang w:val="en-GB"/>
        </w:rPr>
        <w:t>1.  如响应，请在“是否响应”栏内打“√”视为响应；</w:t>
      </w:r>
    </w:p>
    <w:p>
      <w:pPr>
        <w:tabs>
          <w:tab w:val="left" w:pos="540"/>
        </w:tabs>
        <w:snapToGrid w:val="0"/>
        <w:spacing w:line="240" w:lineRule="auto"/>
        <w:ind w:left="480" w:hanging="480" w:hangingChars="200"/>
        <w:jc w:val="left"/>
        <w:rPr>
          <w:rFonts w:ascii="宋体" w:hAnsi="宋体" w:cs="宋体"/>
          <w:color w:val="auto"/>
          <w:szCs w:val="24"/>
          <w:highlight w:val="none"/>
          <w:lang w:val="en-GB"/>
        </w:rPr>
      </w:pPr>
      <w:r>
        <w:rPr>
          <w:rFonts w:hint="eastAsia" w:ascii="宋体" w:hAnsi="宋体" w:cs="宋体"/>
          <w:color w:val="auto"/>
          <w:szCs w:val="24"/>
          <w:highlight w:val="none"/>
          <w:lang w:val="en-GB"/>
        </w:rPr>
        <w:t>2.  如偏离，请在“是否响应”栏内打“×”视为偏离，并在“商务条款偏离情况说明”栏内扼要说明偏离情况；</w:t>
      </w:r>
    </w:p>
    <w:p>
      <w:pPr>
        <w:tabs>
          <w:tab w:val="left" w:pos="540"/>
        </w:tabs>
        <w:snapToGrid w:val="0"/>
        <w:spacing w:line="240" w:lineRule="auto"/>
        <w:ind w:left="480" w:hanging="480" w:hangingChars="200"/>
        <w:jc w:val="left"/>
        <w:rPr>
          <w:rFonts w:ascii="宋体" w:hAnsi="宋体" w:cs="宋体"/>
          <w:color w:val="auto"/>
          <w:szCs w:val="24"/>
          <w:highlight w:val="none"/>
          <w:lang w:val="en-GB"/>
        </w:rPr>
      </w:pPr>
      <w:r>
        <w:rPr>
          <w:rFonts w:hint="eastAsia" w:ascii="宋体" w:hAnsi="宋体" w:cs="宋体"/>
          <w:color w:val="auto"/>
          <w:szCs w:val="24"/>
          <w:highlight w:val="none"/>
          <w:lang w:val="en-GB"/>
        </w:rPr>
        <w:t>3.  如未按规定填写本表或在“是否响应”栏留空，将视为负偏离，且有可能导致供应商的磋商无效，最终以磋商小组确定为准；</w:t>
      </w:r>
    </w:p>
    <w:p>
      <w:pPr>
        <w:tabs>
          <w:tab w:val="left" w:pos="540"/>
        </w:tabs>
        <w:snapToGrid w:val="0"/>
        <w:spacing w:line="240" w:lineRule="auto"/>
        <w:ind w:left="600" w:hanging="600" w:hangingChars="250"/>
        <w:jc w:val="left"/>
        <w:rPr>
          <w:rFonts w:ascii="宋体" w:hAnsi="宋体" w:cs="宋体"/>
          <w:color w:val="auto"/>
          <w:szCs w:val="24"/>
          <w:highlight w:val="none"/>
          <w:lang w:val="en-GB"/>
        </w:rPr>
      </w:pPr>
      <w:r>
        <w:rPr>
          <w:rFonts w:hint="eastAsia" w:ascii="宋体" w:hAnsi="宋体" w:cs="宋体"/>
          <w:color w:val="auto"/>
          <w:szCs w:val="24"/>
          <w:highlight w:val="none"/>
          <w:lang w:val="en-GB"/>
        </w:rPr>
        <w:t>4.  本文件中有“★”标注项为不可负偏离(劣于)的重要项</w:t>
      </w:r>
      <w:r>
        <w:rPr>
          <w:rFonts w:hint="eastAsia" w:ascii="宋体" w:hAnsi="宋体" w:cs="宋体"/>
          <w:color w:val="auto"/>
          <w:szCs w:val="24"/>
          <w:highlight w:val="none"/>
        </w:rPr>
        <w:t>(如有）</w:t>
      </w:r>
      <w:r>
        <w:rPr>
          <w:rFonts w:hint="eastAsia" w:ascii="宋体" w:hAnsi="宋体" w:cs="宋体"/>
          <w:color w:val="auto"/>
          <w:szCs w:val="24"/>
          <w:highlight w:val="none"/>
          <w:lang w:val="en-GB"/>
        </w:rPr>
        <w:t>；</w:t>
      </w:r>
    </w:p>
    <w:p>
      <w:pPr>
        <w:tabs>
          <w:tab w:val="left" w:pos="540"/>
        </w:tabs>
        <w:snapToGrid w:val="0"/>
        <w:spacing w:line="240" w:lineRule="auto"/>
        <w:ind w:left="600" w:hanging="600" w:hangingChars="250"/>
        <w:jc w:val="left"/>
        <w:rPr>
          <w:rFonts w:ascii="宋体" w:hAnsi="宋体" w:cs="宋体"/>
          <w:color w:val="auto"/>
          <w:szCs w:val="24"/>
          <w:highlight w:val="none"/>
          <w:lang w:val="en-GB"/>
        </w:rPr>
      </w:pPr>
      <w:r>
        <w:rPr>
          <w:rFonts w:hint="eastAsia" w:ascii="宋体" w:hAnsi="宋体" w:cs="宋体"/>
          <w:color w:val="auto"/>
          <w:szCs w:val="24"/>
          <w:highlight w:val="none"/>
          <w:lang w:val="en-GB"/>
        </w:rPr>
        <w:t>5.  此表内容必须与实施方案中所介绍的内容一致；</w:t>
      </w:r>
    </w:p>
    <w:p>
      <w:pPr>
        <w:tabs>
          <w:tab w:val="left" w:pos="540"/>
        </w:tabs>
        <w:snapToGrid w:val="0"/>
        <w:spacing w:line="240" w:lineRule="auto"/>
        <w:ind w:left="600" w:hanging="600" w:hangingChars="250"/>
        <w:jc w:val="left"/>
        <w:rPr>
          <w:rFonts w:ascii="宋体" w:hAnsi="宋体" w:cs="宋体"/>
          <w:color w:val="auto"/>
          <w:szCs w:val="24"/>
          <w:highlight w:val="none"/>
          <w:lang w:val="en-GB"/>
        </w:rPr>
      </w:pPr>
      <w:r>
        <w:rPr>
          <w:rFonts w:hint="eastAsia" w:ascii="宋体" w:hAnsi="宋体" w:cs="宋体"/>
          <w:color w:val="auto"/>
          <w:szCs w:val="24"/>
          <w:highlight w:val="none"/>
          <w:lang w:val="en-GB"/>
        </w:rPr>
        <w:t>6.  本表内容不得擅自修改。</w:t>
      </w:r>
    </w:p>
    <w:p>
      <w:pPr>
        <w:spacing w:line="360" w:lineRule="auto"/>
        <w:rPr>
          <w:rFonts w:ascii="宋体" w:hAnsi="宋体" w:cs="宋体"/>
          <w:color w:val="auto"/>
          <w:szCs w:val="24"/>
          <w:highlight w:val="none"/>
        </w:rPr>
      </w:pPr>
    </w:p>
    <w:p>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tabs>
          <w:tab w:val="left" w:pos="-3780"/>
        </w:tabs>
        <w:spacing w:line="36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日期：    年    月    日</w:t>
      </w:r>
    </w:p>
    <w:p>
      <w:pPr>
        <w:pStyle w:val="7"/>
        <w:spacing w:after="156" w:afterLines="50"/>
        <w:ind w:left="720"/>
        <w:jc w:val="center"/>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Cs w:val="24"/>
          <w:highlight w:val="none"/>
        </w:rPr>
        <w:t>4.2 供应商综合概况</w:t>
      </w:r>
    </w:p>
    <w:tbl>
      <w:tblPr>
        <w:tblStyle w:val="3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825"/>
        <w:gridCol w:w="1671"/>
        <w:gridCol w:w="267"/>
        <w:gridCol w:w="1195"/>
        <w:gridCol w:w="467"/>
        <w:gridCol w:w="64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单位名称</w:t>
            </w:r>
          </w:p>
        </w:tc>
        <w:tc>
          <w:tcPr>
            <w:tcW w:w="8080" w:type="dxa"/>
            <w:gridSpan w:val="7"/>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地    址</w:t>
            </w:r>
          </w:p>
        </w:tc>
        <w:tc>
          <w:tcPr>
            <w:tcW w:w="4958" w:type="dxa"/>
            <w:gridSpan w:val="4"/>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邮 编</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法人代表</w:t>
            </w:r>
          </w:p>
        </w:tc>
        <w:tc>
          <w:tcPr>
            <w:tcW w:w="1825" w:type="dxa"/>
            <w:vAlign w:val="center"/>
          </w:tcPr>
          <w:p>
            <w:pPr>
              <w:widowControl/>
              <w:spacing w:line="360" w:lineRule="auto"/>
              <w:jc w:val="center"/>
              <w:rPr>
                <w:rFonts w:ascii="宋体" w:hAnsi="宋体" w:cs="宋体"/>
                <w:color w:val="auto"/>
                <w:kern w:val="0"/>
                <w:szCs w:val="24"/>
                <w:highlight w:val="none"/>
              </w:rPr>
            </w:pPr>
          </w:p>
        </w:tc>
        <w:tc>
          <w:tcPr>
            <w:tcW w:w="1671"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法人代表</w:t>
            </w:r>
          </w:p>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身份证号码</w:t>
            </w:r>
          </w:p>
        </w:tc>
        <w:tc>
          <w:tcPr>
            <w:tcW w:w="1462" w:type="dxa"/>
            <w:gridSpan w:val="2"/>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联系电话</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业务联系人</w:t>
            </w:r>
          </w:p>
        </w:tc>
        <w:tc>
          <w:tcPr>
            <w:tcW w:w="1825" w:type="dxa"/>
            <w:vAlign w:val="center"/>
          </w:tcPr>
          <w:p>
            <w:pPr>
              <w:widowControl/>
              <w:spacing w:line="360" w:lineRule="auto"/>
              <w:jc w:val="center"/>
              <w:rPr>
                <w:rFonts w:ascii="宋体" w:hAnsi="宋体" w:cs="宋体"/>
                <w:color w:val="auto"/>
                <w:kern w:val="0"/>
                <w:szCs w:val="24"/>
                <w:highlight w:val="none"/>
              </w:rPr>
            </w:pPr>
          </w:p>
        </w:tc>
        <w:tc>
          <w:tcPr>
            <w:tcW w:w="1671"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业务联系人</w:t>
            </w:r>
          </w:p>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身份证号码</w:t>
            </w:r>
          </w:p>
        </w:tc>
        <w:tc>
          <w:tcPr>
            <w:tcW w:w="1462" w:type="dxa"/>
            <w:gridSpan w:val="2"/>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职 务</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电    话</w:t>
            </w:r>
          </w:p>
        </w:tc>
        <w:tc>
          <w:tcPr>
            <w:tcW w:w="1825" w:type="dxa"/>
            <w:vAlign w:val="center"/>
          </w:tcPr>
          <w:p>
            <w:pPr>
              <w:widowControl/>
              <w:spacing w:line="360" w:lineRule="auto"/>
              <w:jc w:val="center"/>
              <w:rPr>
                <w:rFonts w:ascii="宋体" w:hAnsi="宋体" w:cs="宋体"/>
                <w:color w:val="auto"/>
                <w:kern w:val="0"/>
                <w:szCs w:val="24"/>
                <w:highlight w:val="none"/>
              </w:rPr>
            </w:pPr>
          </w:p>
        </w:tc>
        <w:tc>
          <w:tcPr>
            <w:tcW w:w="1671"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手机</w:t>
            </w:r>
          </w:p>
        </w:tc>
        <w:tc>
          <w:tcPr>
            <w:tcW w:w="1462" w:type="dxa"/>
            <w:gridSpan w:val="2"/>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传 真</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财务联系人</w:t>
            </w:r>
          </w:p>
        </w:tc>
        <w:tc>
          <w:tcPr>
            <w:tcW w:w="1825" w:type="dxa"/>
            <w:vAlign w:val="center"/>
          </w:tcPr>
          <w:p>
            <w:pPr>
              <w:widowControl/>
              <w:spacing w:line="360" w:lineRule="auto"/>
              <w:jc w:val="center"/>
              <w:rPr>
                <w:rFonts w:ascii="宋体" w:hAnsi="宋体" w:cs="宋体"/>
                <w:color w:val="auto"/>
                <w:kern w:val="0"/>
                <w:szCs w:val="24"/>
                <w:highlight w:val="none"/>
              </w:rPr>
            </w:pPr>
          </w:p>
        </w:tc>
        <w:tc>
          <w:tcPr>
            <w:tcW w:w="1671"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财务联系人</w:t>
            </w:r>
          </w:p>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身份证号码</w:t>
            </w:r>
          </w:p>
        </w:tc>
        <w:tc>
          <w:tcPr>
            <w:tcW w:w="1462" w:type="dxa"/>
            <w:gridSpan w:val="2"/>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职 务</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电    话</w:t>
            </w:r>
          </w:p>
        </w:tc>
        <w:tc>
          <w:tcPr>
            <w:tcW w:w="1825" w:type="dxa"/>
            <w:vAlign w:val="center"/>
          </w:tcPr>
          <w:p>
            <w:pPr>
              <w:widowControl/>
              <w:spacing w:line="360" w:lineRule="auto"/>
              <w:jc w:val="center"/>
              <w:rPr>
                <w:rFonts w:ascii="宋体" w:hAnsi="宋体" w:cs="宋体"/>
                <w:color w:val="auto"/>
                <w:kern w:val="0"/>
                <w:szCs w:val="24"/>
                <w:highlight w:val="none"/>
              </w:rPr>
            </w:pPr>
          </w:p>
        </w:tc>
        <w:tc>
          <w:tcPr>
            <w:tcW w:w="1671"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手机</w:t>
            </w:r>
          </w:p>
        </w:tc>
        <w:tc>
          <w:tcPr>
            <w:tcW w:w="1462" w:type="dxa"/>
            <w:gridSpan w:val="2"/>
            <w:vAlign w:val="center"/>
          </w:tcPr>
          <w:p>
            <w:pPr>
              <w:widowControl/>
              <w:spacing w:line="360" w:lineRule="auto"/>
              <w:jc w:val="center"/>
              <w:rPr>
                <w:rFonts w:ascii="宋体" w:hAnsi="宋体" w:cs="宋体"/>
                <w:color w:val="auto"/>
                <w:kern w:val="0"/>
                <w:szCs w:val="24"/>
                <w:highlight w:val="none"/>
              </w:rPr>
            </w:pPr>
          </w:p>
        </w:tc>
        <w:tc>
          <w:tcPr>
            <w:tcW w:w="1111"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传 真</w:t>
            </w:r>
          </w:p>
        </w:tc>
        <w:tc>
          <w:tcPr>
            <w:tcW w:w="2011" w:type="dxa"/>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718"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主营业务介绍</w:t>
            </w:r>
          </w:p>
        </w:tc>
        <w:tc>
          <w:tcPr>
            <w:tcW w:w="8080" w:type="dxa"/>
            <w:gridSpan w:val="7"/>
            <w:vAlign w:val="center"/>
          </w:tcPr>
          <w:p>
            <w:pPr>
              <w:widowControl/>
              <w:spacing w:line="360" w:lineRule="auto"/>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18" w:type="dxa"/>
            <w:vMerge w:val="restart"/>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单位概况</w:t>
            </w:r>
          </w:p>
        </w:tc>
        <w:tc>
          <w:tcPr>
            <w:tcW w:w="1825"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注册资本（万元）</w:t>
            </w:r>
          </w:p>
        </w:tc>
        <w:tc>
          <w:tcPr>
            <w:tcW w:w="1938" w:type="dxa"/>
            <w:gridSpan w:val="2"/>
            <w:vAlign w:val="center"/>
          </w:tcPr>
          <w:p>
            <w:pPr>
              <w:widowControl/>
              <w:spacing w:line="360" w:lineRule="auto"/>
              <w:jc w:val="right"/>
              <w:rPr>
                <w:rFonts w:ascii="宋体" w:hAnsi="宋体" w:cs="宋体"/>
                <w:color w:val="auto"/>
                <w:kern w:val="0"/>
                <w:szCs w:val="24"/>
                <w:highlight w:val="none"/>
              </w:rPr>
            </w:pPr>
          </w:p>
        </w:tc>
        <w:tc>
          <w:tcPr>
            <w:tcW w:w="1662"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占地面积（M</w:t>
            </w:r>
            <w:r>
              <w:rPr>
                <w:rFonts w:hint="eastAsia" w:ascii="宋体" w:hAnsi="宋体" w:cs="宋体"/>
                <w:b/>
                <w:color w:val="auto"/>
                <w:kern w:val="0"/>
                <w:szCs w:val="24"/>
                <w:highlight w:val="none"/>
                <w:vertAlign w:val="superscript"/>
              </w:rPr>
              <w:t>2</w:t>
            </w:r>
            <w:r>
              <w:rPr>
                <w:rFonts w:hint="eastAsia" w:ascii="宋体" w:hAnsi="宋体" w:cs="宋体"/>
                <w:b/>
                <w:color w:val="auto"/>
                <w:kern w:val="0"/>
                <w:szCs w:val="24"/>
                <w:highlight w:val="none"/>
              </w:rPr>
              <w:t>）</w:t>
            </w:r>
          </w:p>
        </w:tc>
        <w:tc>
          <w:tcPr>
            <w:tcW w:w="2655" w:type="dxa"/>
            <w:gridSpan w:val="2"/>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18" w:type="dxa"/>
            <w:vMerge w:val="continue"/>
            <w:vAlign w:val="center"/>
          </w:tcPr>
          <w:p>
            <w:pPr>
              <w:widowControl/>
              <w:spacing w:line="360" w:lineRule="auto"/>
              <w:jc w:val="center"/>
              <w:rPr>
                <w:rFonts w:ascii="宋体" w:hAnsi="宋体" w:cs="宋体"/>
                <w:b/>
                <w:color w:val="auto"/>
                <w:kern w:val="0"/>
                <w:szCs w:val="24"/>
                <w:highlight w:val="none"/>
              </w:rPr>
            </w:pPr>
          </w:p>
        </w:tc>
        <w:tc>
          <w:tcPr>
            <w:tcW w:w="1825" w:type="dxa"/>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职工总数（人）</w:t>
            </w:r>
          </w:p>
        </w:tc>
        <w:tc>
          <w:tcPr>
            <w:tcW w:w="1938" w:type="dxa"/>
            <w:gridSpan w:val="2"/>
            <w:vAlign w:val="center"/>
          </w:tcPr>
          <w:p>
            <w:pPr>
              <w:widowControl/>
              <w:spacing w:line="360" w:lineRule="auto"/>
              <w:jc w:val="right"/>
              <w:rPr>
                <w:rFonts w:ascii="宋体" w:hAnsi="宋体" w:cs="宋体"/>
                <w:color w:val="auto"/>
                <w:kern w:val="0"/>
                <w:szCs w:val="24"/>
                <w:highlight w:val="none"/>
              </w:rPr>
            </w:pPr>
          </w:p>
        </w:tc>
        <w:tc>
          <w:tcPr>
            <w:tcW w:w="1662" w:type="dxa"/>
            <w:gridSpan w:val="2"/>
            <w:vAlign w:val="center"/>
          </w:tcPr>
          <w:p>
            <w:pPr>
              <w:widowControl/>
              <w:spacing w:line="360" w:lineRule="auto"/>
              <w:jc w:val="center"/>
              <w:rPr>
                <w:rFonts w:ascii="宋体" w:hAnsi="宋体" w:cs="宋体"/>
                <w:b/>
                <w:color w:val="auto"/>
                <w:kern w:val="0"/>
                <w:szCs w:val="24"/>
                <w:highlight w:val="none"/>
              </w:rPr>
            </w:pPr>
            <w:r>
              <w:rPr>
                <w:rFonts w:hint="eastAsia" w:ascii="宋体" w:hAnsi="宋体" w:cs="宋体"/>
                <w:b/>
                <w:color w:val="auto"/>
                <w:kern w:val="0"/>
                <w:szCs w:val="24"/>
                <w:highlight w:val="none"/>
              </w:rPr>
              <w:t>建筑面积（M</w:t>
            </w:r>
            <w:r>
              <w:rPr>
                <w:rFonts w:hint="eastAsia" w:ascii="宋体" w:hAnsi="宋体" w:cs="宋体"/>
                <w:b/>
                <w:color w:val="auto"/>
                <w:kern w:val="0"/>
                <w:szCs w:val="24"/>
                <w:highlight w:val="none"/>
                <w:vertAlign w:val="superscript"/>
              </w:rPr>
              <w:t>2</w:t>
            </w:r>
            <w:r>
              <w:rPr>
                <w:rFonts w:hint="eastAsia" w:ascii="宋体" w:hAnsi="宋体" w:cs="宋体"/>
                <w:b/>
                <w:color w:val="auto"/>
                <w:kern w:val="0"/>
                <w:szCs w:val="24"/>
                <w:highlight w:val="none"/>
              </w:rPr>
              <w:t>）</w:t>
            </w:r>
          </w:p>
        </w:tc>
        <w:tc>
          <w:tcPr>
            <w:tcW w:w="2655" w:type="dxa"/>
            <w:gridSpan w:val="2"/>
            <w:vAlign w:val="center"/>
          </w:tcPr>
          <w:p>
            <w:pPr>
              <w:widowControl/>
              <w:spacing w:line="36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718"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服务机构</w:t>
            </w:r>
          </w:p>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（最接近采购人的地址）</w:t>
            </w:r>
          </w:p>
        </w:tc>
        <w:tc>
          <w:tcPr>
            <w:tcW w:w="8080" w:type="dxa"/>
            <w:gridSpan w:val="7"/>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机构名称：</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地    址：</w:t>
            </w:r>
          </w:p>
          <w:p>
            <w:pPr>
              <w:spacing w:line="360" w:lineRule="auto"/>
              <w:rPr>
                <w:rFonts w:ascii="宋体" w:hAnsi="宋体" w:cs="宋体"/>
                <w:color w:val="auto"/>
                <w:szCs w:val="24"/>
                <w:highlight w:val="none"/>
              </w:rPr>
            </w:pPr>
            <w:r>
              <w:rPr>
                <w:rFonts w:hint="eastAsia" w:ascii="宋体" w:hAnsi="宋体" w:cs="宋体"/>
                <w:color w:val="auto"/>
                <w:szCs w:val="24"/>
                <w:highlight w:val="none"/>
              </w:rPr>
              <w:t>负 责 人：</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服务机构性质：企业自有 /委托/ 合作代理</w:t>
            </w:r>
          </w:p>
          <w:p>
            <w:pPr>
              <w:spacing w:line="36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联系电话：</w:t>
            </w:r>
          </w:p>
          <w:p>
            <w:pPr>
              <w:spacing w:line="360" w:lineRule="auto"/>
              <w:rPr>
                <w:rFonts w:ascii="宋体" w:hAnsi="宋体" w:cs="宋体"/>
                <w:color w:val="auto"/>
                <w:szCs w:val="24"/>
                <w:highlight w:val="none"/>
              </w:rPr>
            </w:pPr>
            <w:r>
              <w:rPr>
                <w:rFonts w:hint="eastAsia" w:ascii="宋体" w:hAnsi="宋体" w:cs="宋体"/>
                <w:color w:val="auto"/>
                <w:kern w:val="0"/>
                <w:szCs w:val="24"/>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1718" w:type="dxa"/>
            <w:vAlign w:val="center"/>
          </w:tcPr>
          <w:p>
            <w:pPr>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单位简介及机构设置</w:t>
            </w:r>
          </w:p>
        </w:tc>
        <w:tc>
          <w:tcPr>
            <w:tcW w:w="8080" w:type="dxa"/>
            <w:gridSpan w:val="7"/>
            <w:vAlign w:val="center"/>
          </w:tcPr>
          <w:p>
            <w:pPr>
              <w:tabs>
                <w:tab w:val="left" w:pos="540"/>
              </w:tabs>
              <w:snapToGrid w:val="0"/>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本项说明（本说明文字在填表时可删除）：</w:t>
            </w:r>
          </w:p>
          <w:p>
            <w:pPr>
              <w:tabs>
                <w:tab w:val="left" w:pos="540"/>
              </w:tabs>
              <w:snapToGrid w:val="0"/>
              <w:spacing w:line="360" w:lineRule="auto"/>
              <w:ind w:left="240" w:hanging="240" w:hangingChars="100"/>
              <w:rPr>
                <w:rFonts w:ascii="宋体" w:hAnsi="宋体" w:cs="宋体"/>
                <w:color w:val="auto"/>
                <w:szCs w:val="24"/>
                <w:highlight w:val="none"/>
                <w:lang w:val="en-GB"/>
              </w:rPr>
            </w:pPr>
            <w:r>
              <w:rPr>
                <w:rFonts w:hint="eastAsia" w:ascii="宋体" w:hAnsi="宋体" w:cs="宋体"/>
                <w:color w:val="auto"/>
                <w:szCs w:val="24"/>
                <w:highlight w:val="none"/>
                <w:lang w:val="en-GB"/>
              </w:rPr>
              <w:t>1.简要表述：企业性质、发展历程、组织结构及服务理念、主营业务、经营规模、技术力量、管理体系制度和监管机制等；</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2.若内容不够填写，可随表另附文字内容描述；</w:t>
            </w:r>
          </w:p>
          <w:p>
            <w:pPr>
              <w:spacing w:line="360" w:lineRule="auto"/>
              <w:ind w:left="240" w:hanging="240" w:hangingChars="100"/>
              <w:rPr>
                <w:rFonts w:ascii="宋体" w:hAnsi="宋体" w:cs="宋体"/>
                <w:color w:val="auto"/>
                <w:szCs w:val="24"/>
                <w:highlight w:val="none"/>
              </w:rPr>
            </w:pPr>
            <w:r>
              <w:rPr>
                <w:rFonts w:hint="eastAsia" w:ascii="宋体" w:hAnsi="宋体" w:cs="宋体"/>
                <w:color w:val="auto"/>
                <w:szCs w:val="24"/>
                <w:highlight w:val="none"/>
                <w:lang w:val="en-GB"/>
              </w:rPr>
              <w:t>3.自述内容必须充分体现企业现阶段的发展情况，体现出企业管理特有的个性化、特色化和差异化管理措施等。</w:t>
            </w:r>
          </w:p>
        </w:tc>
      </w:tr>
    </w:tbl>
    <w:p>
      <w:pPr>
        <w:spacing w:line="360" w:lineRule="auto"/>
        <w:rPr>
          <w:rFonts w:ascii="宋体" w:hAnsi="宋体" w:cs="宋体"/>
          <w:color w:val="auto"/>
          <w:szCs w:val="24"/>
          <w:highlight w:val="none"/>
          <w:lang w:val="en-GB"/>
        </w:rPr>
      </w:pPr>
    </w:p>
    <w:p>
      <w:pPr>
        <w:pStyle w:val="7"/>
        <w:spacing w:after="156" w:afterLines="50"/>
        <w:ind w:left="720"/>
        <w:jc w:val="center"/>
        <w:rPr>
          <w:rFonts w:ascii="宋体" w:hAnsi="宋体" w:cs="宋体"/>
          <w:color w:val="auto"/>
          <w:szCs w:val="24"/>
          <w:highlight w:val="none"/>
        </w:rPr>
      </w:pPr>
      <w:r>
        <w:rPr>
          <w:rFonts w:hint="eastAsia" w:ascii="宋体" w:hAnsi="宋体" w:cs="宋体"/>
          <w:color w:val="auto"/>
          <w:szCs w:val="24"/>
          <w:highlight w:val="none"/>
        </w:rPr>
        <w:t>4.3 供应商所获资质、荣誉及其他证书的情况</w:t>
      </w:r>
    </w:p>
    <w:tbl>
      <w:tblPr>
        <w:tblStyle w:val="3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696"/>
        <w:gridCol w:w="2126"/>
        <w:gridCol w:w="198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7" w:type="dxa"/>
            <w:shd w:val="clear" w:color="auto" w:fill="F3F3F3"/>
            <w:vAlign w:val="center"/>
          </w:tcPr>
          <w:p>
            <w:pPr>
              <w:tabs>
                <w:tab w:val="left" w:pos="54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3696" w:type="dxa"/>
            <w:shd w:val="clear" w:color="auto" w:fill="F3F3F3"/>
            <w:vAlign w:val="center"/>
          </w:tcPr>
          <w:p>
            <w:pPr>
              <w:tabs>
                <w:tab w:val="left" w:pos="54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资质、荣誉及其他证书名称</w:t>
            </w:r>
          </w:p>
        </w:tc>
        <w:tc>
          <w:tcPr>
            <w:tcW w:w="2126" w:type="dxa"/>
            <w:shd w:val="clear" w:color="auto" w:fill="F3F3F3"/>
            <w:vAlign w:val="center"/>
          </w:tcPr>
          <w:p>
            <w:pPr>
              <w:tabs>
                <w:tab w:val="left" w:pos="540"/>
              </w:tabs>
              <w:spacing w:line="360" w:lineRule="auto"/>
              <w:ind w:left="-74" w:leftChars="-31" w:right="-74" w:rightChars="-31"/>
              <w:jc w:val="center"/>
              <w:rPr>
                <w:rFonts w:ascii="宋体" w:hAnsi="宋体" w:cs="宋体"/>
                <w:b/>
                <w:color w:val="auto"/>
                <w:szCs w:val="24"/>
                <w:highlight w:val="none"/>
              </w:rPr>
            </w:pPr>
            <w:r>
              <w:rPr>
                <w:rFonts w:hint="eastAsia" w:ascii="宋体" w:hAnsi="宋体" w:cs="宋体"/>
                <w:b/>
                <w:color w:val="auto"/>
                <w:szCs w:val="24"/>
                <w:highlight w:val="none"/>
              </w:rPr>
              <w:t>发证日期/有效期</w:t>
            </w:r>
          </w:p>
        </w:tc>
        <w:tc>
          <w:tcPr>
            <w:tcW w:w="1985" w:type="dxa"/>
            <w:shd w:val="clear" w:color="auto" w:fill="F3F3F3"/>
            <w:vAlign w:val="center"/>
          </w:tcPr>
          <w:p>
            <w:pPr>
              <w:tabs>
                <w:tab w:val="left" w:pos="54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发证单位</w:t>
            </w:r>
          </w:p>
        </w:tc>
        <w:tc>
          <w:tcPr>
            <w:tcW w:w="1090" w:type="dxa"/>
            <w:shd w:val="clear" w:color="auto" w:fill="F3F3F3"/>
            <w:vAlign w:val="center"/>
          </w:tcPr>
          <w:p>
            <w:pPr>
              <w:tabs>
                <w:tab w:val="left" w:pos="540"/>
              </w:tabs>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3696" w:type="dxa"/>
            <w:vAlign w:val="center"/>
          </w:tcPr>
          <w:p>
            <w:pPr>
              <w:tabs>
                <w:tab w:val="left" w:pos="540"/>
              </w:tabs>
              <w:spacing w:line="360" w:lineRule="auto"/>
              <w:jc w:val="center"/>
              <w:rPr>
                <w:rFonts w:ascii="宋体" w:hAnsi="宋体" w:cs="宋体"/>
                <w:color w:val="auto"/>
                <w:szCs w:val="24"/>
                <w:highlight w:val="none"/>
              </w:rPr>
            </w:pPr>
          </w:p>
        </w:tc>
        <w:tc>
          <w:tcPr>
            <w:tcW w:w="2126" w:type="dxa"/>
            <w:vAlign w:val="center"/>
          </w:tcPr>
          <w:p>
            <w:pPr>
              <w:tabs>
                <w:tab w:val="left" w:pos="540"/>
              </w:tabs>
              <w:spacing w:line="360" w:lineRule="auto"/>
              <w:jc w:val="center"/>
              <w:rPr>
                <w:rFonts w:ascii="宋体" w:hAnsi="宋体" w:cs="宋体"/>
                <w:color w:val="auto"/>
                <w:szCs w:val="24"/>
                <w:highlight w:val="none"/>
              </w:rPr>
            </w:pPr>
          </w:p>
        </w:tc>
        <w:tc>
          <w:tcPr>
            <w:tcW w:w="1985" w:type="dxa"/>
            <w:vAlign w:val="center"/>
          </w:tcPr>
          <w:p>
            <w:pPr>
              <w:tabs>
                <w:tab w:val="left" w:pos="540"/>
              </w:tabs>
              <w:spacing w:line="360" w:lineRule="auto"/>
              <w:jc w:val="center"/>
              <w:rPr>
                <w:rFonts w:ascii="宋体" w:hAnsi="宋体" w:cs="宋体"/>
                <w:color w:val="auto"/>
                <w:szCs w:val="24"/>
                <w:highlight w:val="none"/>
              </w:rPr>
            </w:pPr>
          </w:p>
        </w:tc>
        <w:tc>
          <w:tcPr>
            <w:tcW w:w="1090" w:type="dxa"/>
            <w:vAlign w:val="center"/>
          </w:tcPr>
          <w:p>
            <w:pPr>
              <w:tabs>
                <w:tab w:val="left" w:pos="540"/>
              </w:tabs>
              <w:spacing w:line="360" w:lineRule="auto"/>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2</w:t>
            </w:r>
          </w:p>
        </w:tc>
        <w:tc>
          <w:tcPr>
            <w:tcW w:w="3696" w:type="dxa"/>
            <w:vAlign w:val="center"/>
          </w:tcPr>
          <w:p>
            <w:pPr>
              <w:tabs>
                <w:tab w:val="left" w:pos="540"/>
              </w:tabs>
              <w:spacing w:line="360" w:lineRule="auto"/>
              <w:jc w:val="center"/>
              <w:rPr>
                <w:rFonts w:ascii="宋体" w:hAnsi="宋体" w:cs="宋体"/>
                <w:color w:val="auto"/>
                <w:szCs w:val="24"/>
                <w:highlight w:val="none"/>
              </w:rPr>
            </w:pPr>
          </w:p>
        </w:tc>
        <w:tc>
          <w:tcPr>
            <w:tcW w:w="2126" w:type="dxa"/>
            <w:vAlign w:val="center"/>
          </w:tcPr>
          <w:p>
            <w:pPr>
              <w:tabs>
                <w:tab w:val="left" w:pos="540"/>
              </w:tabs>
              <w:spacing w:line="360" w:lineRule="auto"/>
              <w:jc w:val="center"/>
              <w:rPr>
                <w:rFonts w:ascii="宋体" w:hAnsi="宋体" w:cs="宋体"/>
                <w:color w:val="auto"/>
                <w:szCs w:val="24"/>
                <w:highlight w:val="none"/>
              </w:rPr>
            </w:pPr>
          </w:p>
        </w:tc>
        <w:tc>
          <w:tcPr>
            <w:tcW w:w="1985" w:type="dxa"/>
            <w:vAlign w:val="center"/>
          </w:tcPr>
          <w:p>
            <w:pPr>
              <w:tabs>
                <w:tab w:val="left" w:pos="540"/>
              </w:tabs>
              <w:spacing w:line="360" w:lineRule="auto"/>
              <w:jc w:val="center"/>
              <w:rPr>
                <w:rFonts w:ascii="宋体" w:hAnsi="宋体" w:cs="宋体"/>
                <w:color w:val="auto"/>
                <w:szCs w:val="24"/>
                <w:highlight w:val="none"/>
              </w:rPr>
            </w:pPr>
          </w:p>
        </w:tc>
        <w:tc>
          <w:tcPr>
            <w:tcW w:w="1090" w:type="dxa"/>
            <w:vAlign w:val="center"/>
          </w:tcPr>
          <w:p>
            <w:pPr>
              <w:tabs>
                <w:tab w:val="left" w:pos="540"/>
              </w:tabs>
              <w:spacing w:line="360" w:lineRule="auto"/>
              <w:jc w:val="center"/>
              <w:rPr>
                <w:rFonts w:ascii="宋体" w:hAnsi="宋体" w:cs="宋体"/>
                <w:color w:val="auto"/>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3</w:t>
            </w:r>
          </w:p>
        </w:tc>
        <w:tc>
          <w:tcPr>
            <w:tcW w:w="3696" w:type="dxa"/>
            <w:vAlign w:val="center"/>
          </w:tcPr>
          <w:p>
            <w:pPr>
              <w:tabs>
                <w:tab w:val="left" w:pos="540"/>
              </w:tabs>
              <w:spacing w:line="360" w:lineRule="auto"/>
              <w:jc w:val="center"/>
              <w:rPr>
                <w:rFonts w:ascii="宋体" w:hAnsi="宋体" w:cs="宋体"/>
                <w:color w:val="auto"/>
                <w:szCs w:val="24"/>
                <w:highlight w:val="none"/>
              </w:rPr>
            </w:pPr>
          </w:p>
        </w:tc>
        <w:tc>
          <w:tcPr>
            <w:tcW w:w="2126" w:type="dxa"/>
            <w:vAlign w:val="center"/>
          </w:tcPr>
          <w:p>
            <w:pPr>
              <w:tabs>
                <w:tab w:val="left" w:pos="540"/>
              </w:tabs>
              <w:spacing w:line="360" w:lineRule="auto"/>
              <w:jc w:val="center"/>
              <w:rPr>
                <w:rFonts w:ascii="宋体" w:hAnsi="宋体" w:cs="宋体"/>
                <w:color w:val="auto"/>
                <w:szCs w:val="24"/>
                <w:highlight w:val="none"/>
              </w:rPr>
            </w:pPr>
          </w:p>
        </w:tc>
        <w:tc>
          <w:tcPr>
            <w:tcW w:w="1985" w:type="dxa"/>
            <w:vAlign w:val="center"/>
          </w:tcPr>
          <w:p>
            <w:pPr>
              <w:tabs>
                <w:tab w:val="left" w:pos="540"/>
              </w:tabs>
              <w:spacing w:line="360" w:lineRule="auto"/>
              <w:jc w:val="center"/>
              <w:rPr>
                <w:rFonts w:ascii="宋体" w:hAnsi="宋体" w:cs="宋体"/>
                <w:color w:val="auto"/>
                <w:szCs w:val="24"/>
                <w:highlight w:val="none"/>
              </w:rPr>
            </w:pPr>
          </w:p>
        </w:tc>
        <w:tc>
          <w:tcPr>
            <w:tcW w:w="1090" w:type="dxa"/>
            <w:vAlign w:val="center"/>
          </w:tcPr>
          <w:p>
            <w:pPr>
              <w:tabs>
                <w:tab w:val="left" w:pos="540"/>
              </w:tabs>
              <w:spacing w:line="360" w:lineRule="auto"/>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7"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w:t>
            </w:r>
          </w:p>
        </w:tc>
        <w:tc>
          <w:tcPr>
            <w:tcW w:w="3696" w:type="dxa"/>
            <w:vAlign w:val="center"/>
          </w:tcPr>
          <w:p>
            <w:pPr>
              <w:tabs>
                <w:tab w:val="left" w:pos="540"/>
              </w:tabs>
              <w:spacing w:line="360" w:lineRule="auto"/>
              <w:jc w:val="center"/>
              <w:rPr>
                <w:rFonts w:ascii="宋体" w:hAnsi="宋体" w:cs="宋体"/>
                <w:color w:val="auto"/>
                <w:szCs w:val="24"/>
                <w:highlight w:val="none"/>
              </w:rPr>
            </w:pPr>
          </w:p>
        </w:tc>
        <w:tc>
          <w:tcPr>
            <w:tcW w:w="2126" w:type="dxa"/>
            <w:vAlign w:val="center"/>
          </w:tcPr>
          <w:p>
            <w:pPr>
              <w:tabs>
                <w:tab w:val="left" w:pos="540"/>
              </w:tabs>
              <w:spacing w:line="360" w:lineRule="auto"/>
              <w:jc w:val="center"/>
              <w:rPr>
                <w:rFonts w:ascii="宋体" w:hAnsi="宋体" w:cs="宋体"/>
                <w:color w:val="auto"/>
                <w:szCs w:val="24"/>
                <w:highlight w:val="none"/>
              </w:rPr>
            </w:pPr>
          </w:p>
        </w:tc>
        <w:tc>
          <w:tcPr>
            <w:tcW w:w="1985" w:type="dxa"/>
            <w:vAlign w:val="center"/>
          </w:tcPr>
          <w:p>
            <w:pPr>
              <w:tabs>
                <w:tab w:val="left" w:pos="540"/>
              </w:tabs>
              <w:spacing w:line="360" w:lineRule="auto"/>
              <w:jc w:val="center"/>
              <w:rPr>
                <w:rFonts w:ascii="宋体" w:hAnsi="宋体" w:cs="宋体"/>
                <w:color w:val="auto"/>
                <w:szCs w:val="24"/>
                <w:highlight w:val="none"/>
              </w:rPr>
            </w:pPr>
          </w:p>
        </w:tc>
        <w:tc>
          <w:tcPr>
            <w:tcW w:w="1090" w:type="dxa"/>
            <w:vAlign w:val="center"/>
          </w:tcPr>
          <w:p>
            <w:pPr>
              <w:tabs>
                <w:tab w:val="left" w:pos="540"/>
              </w:tabs>
              <w:spacing w:line="360" w:lineRule="auto"/>
              <w:jc w:val="center"/>
              <w:rPr>
                <w:rFonts w:ascii="宋体" w:hAnsi="宋体" w:cs="宋体"/>
                <w:color w:val="auto"/>
                <w:szCs w:val="24"/>
                <w:highlight w:val="none"/>
              </w:rPr>
            </w:pPr>
          </w:p>
        </w:tc>
      </w:tr>
    </w:tbl>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填表说明及要求，及本表附件（须附在本表格之后）：</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1.  请在此表内填写供应商所获资质、荣誉及其他证书情况，并附上所属之证明文件；</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  证明材料内容请参照本项目的评审子项要求，否则在评审时该项证明材料无效；</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3.  在“供应商资格性证明材料”中已填写的项目不需在此表中填写；</w:t>
      </w:r>
    </w:p>
    <w:p>
      <w:pPr>
        <w:tabs>
          <w:tab w:val="left" w:pos="540"/>
        </w:tabs>
        <w:snapToGrid w:val="0"/>
        <w:spacing w:line="360" w:lineRule="auto"/>
        <w:ind w:left="48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4.  证书有效期要求：以上证书均须在有效期内，如证书设有有效期的，有效期要求不少于磋商当日或已办理延期手续；如证书没有设置有效期要求的，视为长期有效。</w:t>
      </w:r>
    </w:p>
    <w:p>
      <w:pPr>
        <w:tabs>
          <w:tab w:val="left" w:pos="540"/>
        </w:tabs>
        <w:snapToGrid w:val="0"/>
        <w:spacing w:line="360" w:lineRule="auto"/>
        <w:rPr>
          <w:rFonts w:ascii="宋体" w:hAnsi="宋体" w:cs="宋体"/>
          <w:color w:val="auto"/>
          <w:szCs w:val="24"/>
          <w:highlight w:val="none"/>
        </w:rPr>
      </w:pPr>
      <w:r>
        <w:rPr>
          <w:rFonts w:hint="eastAsia" w:ascii="宋体" w:hAnsi="宋体" w:cs="宋体"/>
          <w:color w:val="auto"/>
          <w:szCs w:val="24"/>
          <w:highlight w:val="none"/>
          <w:lang w:val="en-GB"/>
        </w:rPr>
        <w:t xml:space="preserve">5.  </w:t>
      </w:r>
      <w:r>
        <w:rPr>
          <w:rFonts w:hint="eastAsia" w:ascii="宋体" w:hAnsi="宋体" w:cs="宋体"/>
          <w:color w:val="auto"/>
          <w:szCs w:val="24"/>
          <w:highlight w:val="none"/>
          <w:u w:val="wave"/>
          <w:lang w:val="en-GB"/>
        </w:rPr>
        <w:t>证明材料（复印件）均须加盖供应商单位公章。</w:t>
      </w:r>
    </w:p>
    <w:p>
      <w:pPr>
        <w:spacing w:line="360" w:lineRule="auto"/>
        <w:rPr>
          <w:rFonts w:ascii="宋体" w:hAnsi="宋体" w:cs="宋体"/>
          <w:color w:val="auto"/>
          <w:szCs w:val="24"/>
          <w:highlight w:val="none"/>
        </w:rPr>
      </w:pPr>
    </w:p>
    <w:p>
      <w:pPr>
        <w:pStyle w:val="7"/>
        <w:spacing w:after="156" w:afterLines="50"/>
        <w:ind w:left="720"/>
        <w:jc w:val="center"/>
        <w:rPr>
          <w:rFonts w:ascii="宋体" w:hAnsi="宋体" w:cs="宋体"/>
          <w:color w:val="auto"/>
          <w:szCs w:val="24"/>
          <w:highlight w:val="none"/>
        </w:rPr>
      </w:pPr>
      <w:r>
        <w:rPr>
          <w:rFonts w:hint="eastAsia" w:ascii="宋体" w:hAnsi="宋体" w:cs="宋体"/>
          <w:color w:val="auto"/>
          <w:szCs w:val="24"/>
          <w:highlight w:val="none"/>
        </w:rPr>
        <w:t>4.4 项目业绩介绍</w:t>
      </w:r>
    </w:p>
    <w:tbl>
      <w:tblPr>
        <w:tblStyle w:val="31"/>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17"/>
        <w:gridCol w:w="1440"/>
        <w:gridCol w:w="1264"/>
        <w:gridCol w:w="977"/>
        <w:gridCol w:w="978"/>
        <w:gridCol w:w="167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序号</w:t>
            </w:r>
          </w:p>
        </w:tc>
        <w:tc>
          <w:tcPr>
            <w:tcW w:w="1917"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项目名称</w:t>
            </w:r>
          </w:p>
        </w:tc>
        <w:tc>
          <w:tcPr>
            <w:tcW w:w="1440"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项目内容</w:t>
            </w:r>
          </w:p>
        </w:tc>
        <w:tc>
          <w:tcPr>
            <w:tcW w:w="1264"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合同金额（万元）</w:t>
            </w:r>
          </w:p>
        </w:tc>
        <w:tc>
          <w:tcPr>
            <w:tcW w:w="977"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签订</w:t>
            </w: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时间</w:t>
            </w:r>
          </w:p>
        </w:tc>
        <w:tc>
          <w:tcPr>
            <w:tcW w:w="978"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验收</w:t>
            </w:r>
          </w:p>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时间</w:t>
            </w:r>
          </w:p>
        </w:tc>
        <w:tc>
          <w:tcPr>
            <w:tcW w:w="1672" w:type="dxa"/>
            <w:shd w:val="clear" w:color="auto" w:fill="F3F3F3"/>
            <w:vAlign w:val="center"/>
          </w:tcPr>
          <w:p>
            <w:pPr>
              <w:spacing w:line="360" w:lineRule="auto"/>
              <w:jc w:val="center"/>
              <w:rPr>
                <w:rFonts w:ascii="宋体" w:hAnsi="宋体" w:cs="宋体"/>
                <w:b/>
                <w:bCs/>
                <w:color w:val="auto"/>
                <w:szCs w:val="24"/>
                <w:highlight w:val="none"/>
              </w:rPr>
            </w:pPr>
            <w:r>
              <w:rPr>
                <w:rFonts w:hint="eastAsia" w:ascii="宋体" w:hAnsi="宋体" w:cs="宋体"/>
                <w:b/>
                <w:bCs/>
                <w:color w:val="auto"/>
                <w:szCs w:val="24"/>
                <w:highlight w:val="none"/>
              </w:rPr>
              <w:t>客户单位名称联系人及电话</w:t>
            </w:r>
          </w:p>
        </w:tc>
        <w:tc>
          <w:tcPr>
            <w:tcW w:w="1194" w:type="dxa"/>
            <w:shd w:val="clear" w:color="auto" w:fill="F3F3F3"/>
          </w:tcPr>
          <w:p>
            <w:pPr>
              <w:spacing w:line="360" w:lineRule="auto"/>
              <w:jc w:val="center"/>
              <w:rPr>
                <w:rFonts w:ascii="宋体" w:hAnsi="宋体" w:cs="宋体"/>
                <w:b/>
                <w:bCs/>
                <w:color w:val="auto"/>
                <w:szCs w:val="24"/>
                <w:highlight w:val="none"/>
              </w:rPr>
            </w:pPr>
            <w:r>
              <w:rPr>
                <w:rFonts w:hint="eastAsia" w:ascii="宋体" w:hAnsi="宋体" w:cs="宋体"/>
                <w:b/>
                <w:color w:val="auto"/>
                <w:szCs w:val="24"/>
                <w:highlight w:val="none"/>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1917" w:type="dxa"/>
            <w:vAlign w:val="center"/>
          </w:tcPr>
          <w:p>
            <w:pPr>
              <w:spacing w:line="360" w:lineRule="auto"/>
              <w:jc w:val="center"/>
              <w:rPr>
                <w:rFonts w:ascii="宋体" w:hAnsi="宋体" w:cs="宋体"/>
                <w:color w:val="auto"/>
                <w:szCs w:val="24"/>
                <w:highlight w:val="none"/>
              </w:rPr>
            </w:pPr>
          </w:p>
        </w:tc>
        <w:tc>
          <w:tcPr>
            <w:tcW w:w="1440" w:type="dxa"/>
            <w:vAlign w:val="center"/>
          </w:tcPr>
          <w:p>
            <w:pPr>
              <w:spacing w:line="360" w:lineRule="auto"/>
              <w:jc w:val="center"/>
              <w:rPr>
                <w:rFonts w:ascii="宋体" w:hAnsi="宋体" w:cs="宋体"/>
                <w:color w:val="auto"/>
                <w:szCs w:val="24"/>
                <w:highlight w:val="none"/>
              </w:rPr>
            </w:pPr>
          </w:p>
        </w:tc>
        <w:tc>
          <w:tcPr>
            <w:tcW w:w="1264" w:type="dxa"/>
            <w:vAlign w:val="center"/>
          </w:tcPr>
          <w:p>
            <w:pPr>
              <w:spacing w:line="360" w:lineRule="auto"/>
              <w:jc w:val="center"/>
              <w:rPr>
                <w:rFonts w:ascii="宋体" w:hAnsi="宋体" w:cs="宋体"/>
                <w:color w:val="auto"/>
                <w:szCs w:val="24"/>
                <w:highlight w:val="none"/>
              </w:rPr>
            </w:pPr>
          </w:p>
        </w:tc>
        <w:tc>
          <w:tcPr>
            <w:tcW w:w="977" w:type="dxa"/>
            <w:vAlign w:val="center"/>
          </w:tcPr>
          <w:p>
            <w:pPr>
              <w:spacing w:line="360" w:lineRule="auto"/>
              <w:jc w:val="center"/>
              <w:rPr>
                <w:rFonts w:ascii="宋体" w:hAnsi="宋体" w:cs="宋体"/>
                <w:color w:val="auto"/>
                <w:szCs w:val="24"/>
                <w:highlight w:val="none"/>
              </w:rPr>
            </w:pPr>
          </w:p>
        </w:tc>
        <w:tc>
          <w:tcPr>
            <w:tcW w:w="978" w:type="dxa"/>
            <w:vAlign w:val="center"/>
          </w:tcPr>
          <w:p>
            <w:pPr>
              <w:spacing w:line="360" w:lineRule="auto"/>
              <w:jc w:val="center"/>
              <w:rPr>
                <w:rFonts w:ascii="宋体" w:hAnsi="宋体" w:cs="宋体"/>
                <w:color w:val="auto"/>
                <w:szCs w:val="24"/>
                <w:highlight w:val="none"/>
              </w:rPr>
            </w:pPr>
          </w:p>
        </w:tc>
        <w:tc>
          <w:tcPr>
            <w:tcW w:w="1672" w:type="dxa"/>
            <w:vAlign w:val="center"/>
          </w:tcPr>
          <w:p>
            <w:pPr>
              <w:spacing w:line="360" w:lineRule="auto"/>
              <w:jc w:val="center"/>
              <w:rPr>
                <w:rFonts w:ascii="宋体" w:hAnsi="宋体" w:cs="宋体"/>
                <w:color w:val="auto"/>
                <w:szCs w:val="24"/>
                <w:highlight w:val="none"/>
              </w:rPr>
            </w:pPr>
          </w:p>
        </w:tc>
        <w:tc>
          <w:tcPr>
            <w:tcW w:w="1194" w:type="dxa"/>
          </w:tcPr>
          <w:p>
            <w:pPr>
              <w:spacing w:line="360" w:lineRule="auto"/>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2</w:t>
            </w:r>
          </w:p>
        </w:tc>
        <w:tc>
          <w:tcPr>
            <w:tcW w:w="1917" w:type="dxa"/>
            <w:vAlign w:val="center"/>
          </w:tcPr>
          <w:p>
            <w:pPr>
              <w:spacing w:line="360" w:lineRule="auto"/>
              <w:jc w:val="center"/>
              <w:rPr>
                <w:rFonts w:ascii="宋体" w:hAnsi="宋体" w:cs="宋体"/>
                <w:color w:val="auto"/>
                <w:szCs w:val="24"/>
                <w:highlight w:val="none"/>
              </w:rPr>
            </w:pPr>
          </w:p>
        </w:tc>
        <w:tc>
          <w:tcPr>
            <w:tcW w:w="1440" w:type="dxa"/>
            <w:vAlign w:val="center"/>
          </w:tcPr>
          <w:p>
            <w:pPr>
              <w:spacing w:line="360" w:lineRule="auto"/>
              <w:jc w:val="center"/>
              <w:rPr>
                <w:rFonts w:ascii="宋体" w:hAnsi="宋体" w:cs="宋体"/>
                <w:color w:val="auto"/>
                <w:szCs w:val="24"/>
                <w:highlight w:val="none"/>
              </w:rPr>
            </w:pPr>
          </w:p>
        </w:tc>
        <w:tc>
          <w:tcPr>
            <w:tcW w:w="1264" w:type="dxa"/>
            <w:vAlign w:val="center"/>
          </w:tcPr>
          <w:p>
            <w:pPr>
              <w:spacing w:line="360" w:lineRule="auto"/>
              <w:jc w:val="center"/>
              <w:rPr>
                <w:rFonts w:ascii="宋体" w:hAnsi="宋体" w:cs="宋体"/>
                <w:color w:val="auto"/>
                <w:szCs w:val="24"/>
                <w:highlight w:val="none"/>
              </w:rPr>
            </w:pPr>
          </w:p>
        </w:tc>
        <w:tc>
          <w:tcPr>
            <w:tcW w:w="977" w:type="dxa"/>
            <w:vAlign w:val="center"/>
          </w:tcPr>
          <w:p>
            <w:pPr>
              <w:spacing w:line="360" w:lineRule="auto"/>
              <w:jc w:val="center"/>
              <w:rPr>
                <w:rFonts w:ascii="宋体" w:hAnsi="宋体" w:cs="宋体"/>
                <w:color w:val="auto"/>
                <w:szCs w:val="24"/>
                <w:highlight w:val="none"/>
              </w:rPr>
            </w:pPr>
          </w:p>
        </w:tc>
        <w:tc>
          <w:tcPr>
            <w:tcW w:w="978" w:type="dxa"/>
            <w:vAlign w:val="center"/>
          </w:tcPr>
          <w:p>
            <w:pPr>
              <w:spacing w:line="360" w:lineRule="auto"/>
              <w:jc w:val="center"/>
              <w:rPr>
                <w:rFonts w:ascii="宋体" w:hAnsi="宋体" w:cs="宋体"/>
                <w:color w:val="auto"/>
                <w:szCs w:val="24"/>
                <w:highlight w:val="none"/>
              </w:rPr>
            </w:pPr>
          </w:p>
        </w:tc>
        <w:tc>
          <w:tcPr>
            <w:tcW w:w="1672" w:type="dxa"/>
            <w:vAlign w:val="center"/>
          </w:tcPr>
          <w:p>
            <w:pPr>
              <w:spacing w:line="360" w:lineRule="auto"/>
              <w:jc w:val="center"/>
              <w:rPr>
                <w:rFonts w:ascii="宋体" w:hAnsi="宋体" w:cs="宋体"/>
                <w:color w:val="auto"/>
                <w:szCs w:val="24"/>
                <w:highlight w:val="none"/>
              </w:rPr>
            </w:pPr>
          </w:p>
        </w:tc>
        <w:tc>
          <w:tcPr>
            <w:tcW w:w="1194" w:type="dxa"/>
          </w:tcPr>
          <w:p>
            <w:pPr>
              <w:spacing w:line="360" w:lineRule="auto"/>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9" w:type="dxa"/>
            <w:vAlign w:val="center"/>
          </w:tcPr>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w:t>
            </w:r>
          </w:p>
        </w:tc>
        <w:tc>
          <w:tcPr>
            <w:tcW w:w="1917" w:type="dxa"/>
            <w:vAlign w:val="center"/>
          </w:tcPr>
          <w:p>
            <w:pPr>
              <w:spacing w:line="360" w:lineRule="auto"/>
              <w:jc w:val="center"/>
              <w:rPr>
                <w:rFonts w:ascii="宋体" w:hAnsi="宋体" w:cs="宋体"/>
                <w:color w:val="auto"/>
                <w:szCs w:val="24"/>
                <w:highlight w:val="none"/>
              </w:rPr>
            </w:pPr>
          </w:p>
        </w:tc>
        <w:tc>
          <w:tcPr>
            <w:tcW w:w="1440" w:type="dxa"/>
            <w:vAlign w:val="center"/>
          </w:tcPr>
          <w:p>
            <w:pPr>
              <w:spacing w:line="360" w:lineRule="auto"/>
              <w:jc w:val="center"/>
              <w:rPr>
                <w:rFonts w:ascii="宋体" w:hAnsi="宋体" w:cs="宋体"/>
                <w:color w:val="auto"/>
                <w:szCs w:val="24"/>
                <w:highlight w:val="none"/>
              </w:rPr>
            </w:pPr>
          </w:p>
        </w:tc>
        <w:tc>
          <w:tcPr>
            <w:tcW w:w="1264" w:type="dxa"/>
            <w:vAlign w:val="center"/>
          </w:tcPr>
          <w:p>
            <w:pPr>
              <w:spacing w:line="360" w:lineRule="auto"/>
              <w:jc w:val="center"/>
              <w:rPr>
                <w:rFonts w:ascii="宋体" w:hAnsi="宋体" w:cs="宋体"/>
                <w:color w:val="auto"/>
                <w:szCs w:val="24"/>
                <w:highlight w:val="none"/>
              </w:rPr>
            </w:pPr>
          </w:p>
        </w:tc>
        <w:tc>
          <w:tcPr>
            <w:tcW w:w="977" w:type="dxa"/>
            <w:vAlign w:val="center"/>
          </w:tcPr>
          <w:p>
            <w:pPr>
              <w:spacing w:line="360" w:lineRule="auto"/>
              <w:jc w:val="center"/>
              <w:rPr>
                <w:rFonts w:ascii="宋体" w:hAnsi="宋体" w:cs="宋体"/>
                <w:color w:val="auto"/>
                <w:szCs w:val="24"/>
                <w:highlight w:val="none"/>
              </w:rPr>
            </w:pPr>
          </w:p>
        </w:tc>
        <w:tc>
          <w:tcPr>
            <w:tcW w:w="978" w:type="dxa"/>
            <w:vAlign w:val="center"/>
          </w:tcPr>
          <w:p>
            <w:pPr>
              <w:spacing w:line="360" w:lineRule="auto"/>
              <w:jc w:val="center"/>
              <w:rPr>
                <w:rFonts w:ascii="宋体" w:hAnsi="宋体" w:cs="宋体"/>
                <w:color w:val="auto"/>
                <w:szCs w:val="24"/>
                <w:highlight w:val="none"/>
              </w:rPr>
            </w:pPr>
          </w:p>
        </w:tc>
        <w:tc>
          <w:tcPr>
            <w:tcW w:w="1672" w:type="dxa"/>
            <w:vAlign w:val="center"/>
          </w:tcPr>
          <w:p>
            <w:pPr>
              <w:spacing w:line="360" w:lineRule="auto"/>
              <w:jc w:val="center"/>
              <w:rPr>
                <w:rFonts w:ascii="宋体" w:hAnsi="宋体" w:cs="宋体"/>
                <w:color w:val="auto"/>
                <w:szCs w:val="24"/>
                <w:highlight w:val="none"/>
              </w:rPr>
            </w:pPr>
          </w:p>
        </w:tc>
        <w:tc>
          <w:tcPr>
            <w:tcW w:w="1194" w:type="dxa"/>
          </w:tcPr>
          <w:p>
            <w:pPr>
              <w:spacing w:line="360" w:lineRule="auto"/>
              <w:jc w:val="center"/>
              <w:rPr>
                <w:rFonts w:ascii="宋体" w:hAnsi="宋体" w:cs="宋体"/>
                <w:color w:val="auto"/>
                <w:szCs w:val="24"/>
                <w:highlight w:val="none"/>
              </w:rPr>
            </w:pPr>
          </w:p>
        </w:tc>
      </w:tr>
    </w:tbl>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填表说明及要求，本表附件（须附在本表格之后）：</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1.  请在此表内填写供应商的业绩情况；</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  所提交的证明材料内容请参照本项目的评审子项要求，否则在评审时该项证明材料无效；</w:t>
      </w:r>
    </w:p>
    <w:p>
      <w:pPr>
        <w:tabs>
          <w:tab w:val="left" w:pos="540"/>
        </w:tabs>
        <w:snapToGrid w:val="0"/>
        <w:spacing w:line="360" w:lineRule="auto"/>
        <w:ind w:left="600" w:hanging="600" w:hangingChars="250"/>
        <w:rPr>
          <w:rFonts w:ascii="宋体" w:hAnsi="宋体" w:cs="宋体"/>
          <w:color w:val="auto"/>
          <w:szCs w:val="24"/>
          <w:highlight w:val="none"/>
          <w:lang w:val="en-GB"/>
        </w:rPr>
      </w:pPr>
      <w:r>
        <w:rPr>
          <w:rFonts w:hint="eastAsia" w:ascii="宋体" w:hAnsi="宋体" w:cs="宋体"/>
          <w:color w:val="auto"/>
          <w:szCs w:val="24"/>
          <w:highlight w:val="none"/>
          <w:lang w:val="en-GB"/>
        </w:rPr>
        <w:t>3.  每套业绩证明文件须按照以上列表的顺序在磋商响应文件中提供；</w:t>
      </w:r>
    </w:p>
    <w:p>
      <w:pPr>
        <w:tabs>
          <w:tab w:val="left" w:pos="540"/>
        </w:tabs>
        <w:snapToGrid w:val="0"/>
        <w:spacing w:line="360" w:lineRule="auto"/>
        <w:rPr>
          <w:rFonts w:ascii="宋体" w:hAnsi="宋体" w:cs="宋体"/>
          <w:color w:val="auto"/>
          <w:szCs w:val="24"/>
          <w:highlight w:val="none"/>
          <w:u w:val="wave"/>
          <w:lang w:val="en-GB"/>
        </w:rPr>
      </w:pPr>
      <w:r>
        <w:rPr>
          <w:rFonts w:hint="eastAsia" w:ascii="宋体" w:hAnsi="宋体" w:cs="宋体"/>
          <w:color w:val="auto"/>
          <w:szCs w:val="24"/>
          <w:highlight w:val="none"/>
          <w:lang w:val="en-GB"/>
        </w:rPr>
        <w:t xml:space="preserve">4.  </w:t>
      </w:r>
      <w:r>
        <w:rPr>
          <w:rFonts w:hint="eastAsia" w:ascii="宋体" w:hAnsi="宋体" w:cs="宋体"/>
          <w:color w:val="auto"/>
          <w:szCs w:val="24"/>
          <w:highlight w:val="none"/>
          <w:u w:val="wave"/>
          <w:lang w:val="en-GB"/>
        </w:rPr>
        <w:t>证明材料（复印件）均须加盖供应商单位公章。</w:t>
      </w: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t>4.5 拟派项目组人员情况</w:t>
      </w:r>
    </w:p>
    <w:tbl>
      <w:tblPr>
        <w:tblStyle w:val="31"/>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146"/>
        <w:gridCol w:w="1329"/>
        <w:gridCol w:w="2822"/>
        <w:gridCol w:w="132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shd w:val="clear" w:color="auto" w:fill="F3F3F3"/>
            <w:vAlign w:val="center"/>
          </w:tcPr>
          <w:p>
            <w:pPr>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职责分工</w:t>
            </w:r>
          </w:p>
        </w:tc>
        <w:tc>
          <w:tcPr>
            <w:tcW w:w="1146" w:type="dxa"/>
            <w:shd w:val="clear" w:color="auto" w:fill="F3F3F3"/>
            <w:vAlign w:val="center"/>
          </w:tcPr>
          <w:p>
            <w:pPr>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姓名</w:t>
            </w:r>
          </w:p>
        </w:tc>
        <w:tc>
          <w:tcPr>
            <w:tcW w:w="1329" w:type="dxa"/>
            <w:shd w:val="clear" w:color="auto" w:fill="F3F3F3"/>
            <w:vAlign w:val="center"/>
          </w:tcPr>
          <w:p>
            <w:pPr>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职务/职称</w:t>
            </w:r>
          </w:p>
        </w:tc>
        <w:tc>
          <w:tcPr>
            <w:tcW w:w="2822" w:type="dxa"/>
            <w:shd w:val="clear" w:color="auto" w:fill="F3F3F3"/>
            <w:vAlign w:val="center"/>
          </w:tcPr>
          <w:p>
            <w:pPr>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曾主持/参与过的</w:t>
            </w:r>
          </w:p>
          <w:p>
            <w:pPr>
              <w:adjustRightInd w:val="0"/>
              <w:snapToGrid w:val="0"/>
              <w:spacing w:line="360" w:lineRule="auto"/>
              <w:jc w:val="center"/>
              <w:rPr>
                <w:rFonts w:ascii="宋体" w:hAnsi="宋体" w:cs="宋体"/>
                <w:b/>
                <w:color w:val="auto"/>
                <w:szCs w:val="24"/>
                <w:highlight w:val="none"/>
              </w:rPr>
            </w:pPr>
            <w:r>
              <w:rPr>
                <w:rFonts w:hint="eastAsia" w:ascii="宋体" w:hAnsi="宋体" w:cs="宋体"/>
                <w:b/>
                <w:color w:val="auto"/>
                <w:szCs w:val="24"/>
                <w:highlight w:val="none"/>
              </w:rPr>
              <w:t>同类项目经历</w:t>
            </w:r>
          </w:p>
        </w:tc>
        <w:tc>
          <w:tcPr>
            <w:tcW w:w="1325" w:type="dxa"/>
            <w:shd w:val="clear" w:color="auto" w:fill="F3F3F3"/>
            <w:vAlign w:val="center"/>
          </w:tcPr>
          <w:p>
            <w:pPr>
              <w:adjustRightInd w:val="0"/>
              <w:snapToGrid w:val="0"/>
              <w:spacing w:line="360" w:lineRule="auto"/>
              <w:ind w:firstLine="12"/>
              <w:jc w:val="center"/>
              <w:rPr>
                <w:rFonts w:ascii="宋体" w:hAnsi="宋体" w:cs="宋体"/>
                <w:b/>
                <w:color w:val="auto"/>
                <w:szCs w:val="24"/>
                <w:highlight w:val="none"/>
              </w:rPr>
            </w:pPr>
            <w:r>
              <w:rPr>
                <w:rFonts w:hint="eastAsia" w:ascii="宋体" w:hAnsi="宋体" w:cs="宋体"/>
                <w:b/>
                <w:color w:val="auto"/>
                <w:szCs w:val="24"/>
                <w:highlight w:val="none"/>
              </w:rPr>
              <w:t>联系电话</w:t>
            </w:r>
          </w:p>
          <w:p>
            <w:pPr>
              <w:adjustRightInd w:val="0"/>
              <w:snapToGrid w:val="0"/>
              <w:spacing w:line="360" w:lineRule="auto"/>
              <w:ind w:firstLine="12"/>
              <w:jc w:val="center"/>
              <w:rPr>
                <w:rFonts w:ascii="宋体" w:hAnsi="宋体" w:cs="宋体"/>
                <w:b/>
                <w:color w:val="auto"/>
                <w:szCs w:val="24"/>
                <w:highlight w:val="none"/>
              </w:rPr>
            </w:pPr>
            <w:r>
              <w:rPr>
                <w:rFonts w:hint="eastAsia" w:ascii="宋体" w:hAnsi="宋体" w:cs="宋体"/>
                <w:b/>
                <w:color w:val="auto"/>
                <w:szCs w:val="24"/>
                <w:highlight w:val="none"/>
              </w:rPr>
              <w:t>手机</w:t>
            </w:r>
          </w:p>
        </w:tc>
        <w:tc>
          <w:tcPr>
            <w:tcW w:w="1139" w:type="dxa"/>
            <w:shd w:val="clear" w:color="auto" w:fill="F3F3F3"/>
            <w:vAlign w:val="center"/>
          </w:tcPr>
          <w:p>
            <w:pPr>
              <w:adjustRightInd w:val="0"/>
              <w:snapToGrid w:val="0"/>
              <w:spacing w:line="360" w:lineRule="auto"/>
              <w:ind w:firstLine="12"/>
              <w:jc w:val="center"/>
              <w:rPr>
                <w:rFonts w:ascii="宋体" w:hAnsi="宋体" w:cs="宋体"/>
                <w:b/>
                <w:color w:val="auto"/>
                <w:szCs w:val="24"/>
                <w:highlight w:val="none"/>
              </w:rPr>
            </w:pPr>
            <w:r>
              <w:rPr>
                <w:rFonts w:hint="eastAsia" w:ascii="宋体" w:hAnsi="宋体" w:cs="宋体"/>
                <w:b/>
                <w:color w:val="auto"/>
                <w:szCs w:val="24"/>
                <w:highlight w:val="none"/>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vAlign w:val="center"/>
          </w:tcPr>
          <w:p>
            <w:pPr>
              <w:adjustRightInd w:val="0"/>
              <w:snapToGrid w:val="0"/>
              <w:spacing w:line="360" w:lineRule="auto"/>
              <w:jc w:val="center"/>
              <w:rPr>
                <w:rFonts w:ascii="宋体" w:hAnsi="宋体" w:cs="宋体"/>
                <w:color w:val="auto"/>
                <w:szCs w:val="24"/>
                <w:highlight w:val="none"/>
              </w:rPr>
            </w:pPr>
          </w:p>
        </w:tc>
        <w:tc>
          <w:tcPr>
            <w:tcW w:w="1146" w:type="dxa"/>
            <w:vAlign w:val="center"/>
          </w:tcPr>
          <w:p>
            <w:pPr>
              <w:adjustRightInd w:val="0"/>
              <w:snapToGrid w:val="0"/>
              <w:spacing w:line="360" w:lineRule="auto"/>
              <w:jc w:val="center"/>
              <w:rPr>
                <w:rFonts w:ascii="宋体" w:hAnsi="宋体" w:cs="宋体"/>
                <w:color w:val="auto"/>
                <w:szCs w:val="24"/>
                <w:highlight w:val="none"/>
              </w:rPr>
            </w:pPr>
          </w:p>
        </w:tc>
        <w:tc>
          <w:tcPr>
            <w:tcW w:w="1329" w:type="dxa"/>
            <w:vAlign w:val="center"/>
          </w:tcPr>
          <w:p>
            <w:pPr>
              <w:adjustRightInd w:val="0"/>
              <w:snapToGrid w:val="0"/>
              <w:spacing w:line="360" w:lineRule="auto"/>
              <w:jc w:val="center"/>
              <w:rPr>
                <w:rFonts w:ascii="宋体" w:hAnsi="宋体" w:cs="宋体"/>
                <w:color w:val="auto"/>
                <w:szCs w:val="24"/>
                <w:highlight w:val="none"/>
              </w:rPr>
            </w:pPr>
          </w:p>
        </w:tc>
        <w:tc>
          <w:tcPr>
            <w:tcW w:w="2822" w:type="dxa"/>
            <w:vAlign w:val="center"/>
          </w:tcPr>
          <w:p>
            <w:pPr>
              <w:pStyle w:val="76"/>
              <w:keepNext w:val="0"/>
              <w:snapToGrid w:val="0"/>
              <w:spacing w:before="0" w:after="0" w:line="360" w:lineRule="auto"/>
              <w:textAlignment w:val="auto"/>
              <w:rPr>
                <w:rFonts w:ascii="宋体" w:hAnsi="宋体" w:cs="宋体"/>
                <w:color w:val="auto"/>
                <w:spacing w:val="0"/>
                <w:kern w:val="2"/>
                <w:szCs w:val="24"/>
                <w:highlight w:val="none"/>
              </w:rPr>
            </w:pPr>
          </w:p>
        </w:tc>
        <w:tc>
          <w:tcPr>
            <w:tcW w:w="1325" w:type="dxa"/>
            <w:vAlign w:val="center"/>
          </w:tcPr>
          <w:p>
            <w:pPr>
              <w:adjustRightInd w:val="0"/>
              <w:snapToGrid w:val="0"/>
              <w:spacing w:line="360" w:lineRule="auto"/>
              <w:ind w:firstLine="12"/>
              <w:jc w:val="center"/>
              <w:rPr>
                <w:rFonts w:ascii="宋体" w:hAnsi="宋体" w:cs="宋体"/>
                <w:color w:val="auto"/>
                <w:szCs w:val="24"/>
                <w:highlight w:val="none"/>
              </w:rPr>
            </w:pPr>
          </w:p>
        </w:tc>
        <w:tc>
          <w:tcPr>
            <w:tcW w:w="1139" w:type="dxa"/>
            <w:vAlign w:val="center"/>
          </w:tcPr>
          <w:p>
            <w:pPr>
              <w:adjustRightInd w:val="0"/>
              <w:snapToGrid w:val="0"/>
              <w:spacing w:line="360" w:lineRule="auto"/>
              <w:ind w:firstLine="12"/>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vAlign w:val="center"/>
          </w:tcPr>
          <w:p>
            <w:pPr>
              <w:adjustRightInd w:val="0"/>
              <w:snapToGrid w:val="0"/>
              <w:spacing w:line="360" w:lineRule="auto"/>
              <w:jc w:val="center"/>
              <w:rPr>
                <w:rFonts w:ascii="宋体" w:hAnsi="宋体" w:cs="宋体"/>
                <w:color w:val="auto"/>
                <w:szCs w:val="24"/>
                <w:highlight w:val="none"/>
              </w:rPr>
            </w:pPr>
          </w:p>
        </w:tc>
        <w:tc>
          <w:tcPr>
            <w:tcW w:w="1146" w:type="dxa"/>
            <w:vAlign w:val="center"/>
          </w:tcPr>
          <w:p>
            <w:pPr>
              <w:adjustRightInd w:val="0"/>
              <w:snapToGrid w:val="0"/>
              <w:spacing w:line="360" w:lineRule="auto"/>
              <w:jc w:val="center"/>
              <w:rPr>
                <w:rFonts w:ascii="宋体" w:hAnsi="宋体" w:cs="宋体"/>
                <w:color w:val="auto"/>
                <w:szCs w:val="24"/>
                <w:highlight w:val="none"/>
              </w:rPr>
            </w:pPr>
          </w:p>
        </w:tc>
        <w:tc>
          <w:tcPr>
            <w:tcW w:w="1329" w:type="dxa"/>
            <w:vAlign w:val="center"/>
          </w:tcPr>
          <w:p>
            <w:pPr>
              <w:adjustRightInd w:val="0"/>
              <w:snapToGrid w:val="0"/>
              <w:spacing w:line="360" w:lineRule="auto"/>
              <w:jc w:val="center"/>
              <w:rPr>
                <w:rFonts w:ascii="宋体" w:hAnsi="宋体" w:cs="宋体"/>
                <w:color w:val="auto"/>
                <w:szCs w:val="24"/>
                <w:highlight w:val="none"/>
              </w:rPr>
            </w:pPr>
          </w:p>
        </w:tc>
        <w:tc>
          <w:tcPr>
            <w:tcW w:w="2822" w:type="dxa"/>
            <w:vAlign w:val="center"/>
          </w:tcPr>
          <w:p>
            <w:pPr>
              <w:pStyle w:val="76"/>
              <w:keepNext w:val="0"/>
              <w:snapToGrid w:val="0"/>
              <w:spacing w:before="0" w:after="0" w:line="360" w:lineRule="auto"/>
              <w:textAlignment w:val="auto"/>
              <w:rPr>
                <w:rFonts w:ascii="宋体" w:hAnsi="宋体" w:cs="宋体"/>
                <w:color w:val="auto"/>
                <w:spacing w:val="0"/>
                <w:kern w:val="2"/>
                <w:szCs w:val="24"/>
                <w:highlight w:val="none"/>
              </w:rPr>
            </w:pPr>
          </w:p>
        </w:tc>
        <w:tc>
          <w:tcPr>
            <w:tcW w:w="1325" w:type="dxa"/>
            <w:vAlign w:val="center"/>
          </w:tcPr>
          <w:p>
            <w:pPr>
              <w:adjustRightInd w:val="0"/>
              <w:snapToGrid w:val="0"/>
              <w:spacing w:line="360" w:lineRule="auto"/>
              <w:ind w:firstLine="12"/>
              <w:jc w:val="center"/>
              <w:rPr>
                <w:rFonts w:ascii="宋体" w:hAnsi="宋体" w:cs="宋体"/>
                <w:color w:val="auto"/>
                <w:szCs w:val="24"/>
                <w:highlight w:val="none"/>
              </w:rPr>
            </w:pPr>
          </w:p>
        </w:tc>
        <w:tc>
          <w:tcPr>
            <w:tcW w:w="1139" w:type="dxa"/>
            <w:vAlign w:val="center"/>
          </w:tcPr>
          <w:p>
            <w:pPr>
              <w:adjustRightInd w:val="0"/>
              <w:snapToGrid w:val="0"/>
              <w:spacing w:line="360" w:lineRule="auto"/>
              <w:ind w:firstLine="12"/>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vAlign w:val="center"/>
          </w:tcPr>
          <w:p>
            <w:pPr>
              <w:adjustRightInd w:val="0"/>
              <w:snapToGrid w:val="0"/>
              <w:spacing w:line="360" w:lineRule="auto"/>
              <w:jc w:val="center"/>
              <w:rPr>
                <w:rFonts w:ascii="宋体" w:hAnsi="宋体" w:cs="宋体"/>
                <w:color w:val="auto"/>
                <w:szCs w:val="24"/>
                <w:highlight w:val="none"/>
              </w:rPr>
            </w:pPr>
          </w:p>
        </w:tc>
        <w:tc>
          <w:tcPr>
            <w:tcW w:w="1146" w:type="dxa"/>
            <w:vAlign w:val="center"/>
          </w:tcPr>
          <w:p>
            <w:pPr>
              <w:adjustRightInd w:val="0"/>
              <w:snapToGrid w:val="0"/>
              <w:spacing w:line="360" w:lineRule="auto"/>
              <w:jc w:val="center"/>
              <w:rPr>
                <w:rFonts w:ascii="宋体" w:hAnsi="宋体" w:cs="宋体"/>
                <w:color w:val="auto"/>
                <w:szCs w:val="24"/>
                <w:highlight w:val="none"/>
              </w:rPr>
            </w:pPr>
          </w:p>
        </w:tc>
        <w:tc>
          <w:tcPr>
            <w:tcW w:w="1329" w:type="dxa"/>
            <w:vAlign w:val="center"/>
          </w:tcPr>
          <w:p>
            <w:pPr>
              <w:adjustRightInd w:val="0"/>
              <w:snapToGrid w:val="0"/>
              <w:spacing w:line="360" w:lineRule="auto"/>
              <w:jc w:val="center"/>
              <w:rPr>
                <w:rFonts w:ascii="宋体" w:hAnsi="宋体" w:cs="宋体"/>
                <w:color w:val="auto"/>
                <w:szCs w:val="24"/>
                <w:highlight w:val="none"/>
              </w:rPr>
            </w:pPr>
          </w:p>
        </w:tc>
        <w:tc>
          <w:tcPr>
            <w:tcW w:w="2822" w:type="dxa"/>
            <w:vAlign w:val="center"/>
          </w:tcPr>
          <w:p>
            <w:pPr>
              <w:pStyle w:val="76"/>
              <w:keepNext w:val="0"/>
              <w:snapToGrid w:val="0"/>
              <w:spacing w:before="0" w:after="0" w:line="360" w:lineRule="auto"/>
              <w:textAlignment w:val="auto"/>
              <w:rPr>
                <w:rFonts w:ascii="宋体" w:hAnsi="宋体" w:cs="宋体"/>
                <w:color w:val="auto"/>
                <w:spacing w:val="0"/>
                <w:kern w:val="2"/>
                <w:szCs w:val="24"/>
                <w:highlight w:val="none"/>
              </w:rPr>
            </w:pPr>
          </w:p>
        </w:tc>
        <w:tc>
          <w:tcPr>
            <w:tcW w:w="1325" w:type="dxa"/>
            <w:vAlign w:val="center"/>
          </w:tcPr>
          <w:p>
            <w:pPr>
              <w:adjustRightInd w:val="0"/>
              <w:snapToGrid w:val="0"/>
              <w:spacing w:line="360" w:lineRule="auto"/>
              <w:ind w:firstLine="12"/>
              <w:jc w:val="center"/>
              <w:rPr>
                <w:rFonts w:ascii="宋体" w:hAnsi="宋体" w:cs="宋体"/>
                <w:color w:val="auto"/>
                <w:szCs w:val="24"/>
                <w:highlight w:val="none"/>
              </w:rPr>
            </w:pPr>
          </w:p>
        </w:tc>
        <w:tc>
          <w:tcPr>
            <w:tcW w:w="1139" w:type="dxa"/>
            <w:vAlign w:val="center"/>
          </w:tcPr>
          <w:p>
            <w:pPr>
              <w:adjustRightInd w:val="0"/>
              <w:snapToGrid w:val="0"/>
              <w:spacing w:line="360" w:lineRule="auto"/>
              <w:ind w:firstLine="12"/>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vAlign w:val="center"/>
          </w:tcPr>
          <w:p>
            <w:pPr>
              <w:adjustRightInd w:val="0"/>
              <w:snapToGrid w:val="0"/>
              <w:spacing w:line="360" w:lineRule="auto"/>
              <w:jc w:val="center"/>
              <w:rPr>
                <w:rFonts w:ascii="宋体" w:hAnsi="宋体" w:cs="宋体"/>
                <w:color w:val="auto"/>
                <w:szCs w:val="24"/>
                <w:highlight w:val="none"/>
              </w:rPr>
            </w:pPr>
          </w:p>
        </w:tc>
        <w:tc>
          <w:tcPr>
            <w:tcW w:w="1146" w:type="dxa"/>
            <w:vAlign w:val="center"/>
          </w:tcPr>
          <w:p>
            <w:pPr>
              <w:adjustRightInd w:val="0"/>
              <w:snapToGrid w:val="0"/>
              <w:spacing w:line="360" w:lineRule="auto"/>
              <w:jc w:val="center"/>
              <w:rPr>
                <w:rFonts w:ascii="宋体" w:hAnsi="宋体" w:cs="宋体"/>
                <w:color w:val="auto"/>
                <w:szCs w:val="24"/>
                <w:highlight w:val="none"/>
              </w:rPr>
            </w:pPr>
          </w:p>
        </w:tc>
        <w:tc>
          <w:tcPr>
            <w:tcW w:w="1329" w:type="dxa"/>
            <w:vAlign w:val="center"/>
          </w:tcPr>
          <w:p>
            <w:pPr>
              <w:adjustRightInd w:val="0"/>
              <w:snapToGrid w:val="0"/>
              <w:spacing w:line="360" w:lineRule="auto"/>
              <w:jc w:val="center"/>
              <w:rPr>
                <w:rFonts w:ascii="宋体" w:hAnsi="宋体" w:cs="宋体"/>
                <w:color w:val="auto"/>
                <w:szCs w:val="24"/>
                <w:highlight w:val="none"/>
              </w:rPr>
            </w:pPr>
          </w:p>
        </w:tc>
        <w:tc>
          <w:tcPr>
            <w:tcW w:w="2822" w:type="dxa"/>
            <w:vAlign w:val="center"/>
          </w:tcPr>
          <w:p>
            <w:pPr>
              <w:adjustRightInd w:val="0"/>
              <w:snapToGrid w:val="0"/>
              <w:spacing w:line="360" w:lineRule="auto"/>
              <w:jc w:val="center"/>
              <w:rPr>
                <w:rFonts w:ascii="宋体" w:hAnsi="宋体" w:cs="宋体"/>
                <w:color w:val="auto"/>
                <w:szCs w:val="24"/>
                <w:highlight w:val="none"/>
              </w:rPr>
            </w:pPr>
          </w:p>
        </w:tc>
        <w:tc>
          <w:tcPr>
            <w:tcW w:w="1325" w:type="dxa"/>
            <w:vAlign w:val="center"/>
          </w:tcPr>
          <w:p>
            <w:pPr>
              <w:adjustRightInd w:val="0"/>
              <w:snapToGrid w:val="0"/>
              <w:spacing w:line="360" w:lineRule="auto"/>
              <w:jc w:val="center"/>
              <w:rPr>
                <w:rFonts w:ascii="宋体" w:hAnsi="宋体" w:cs="宋体"/>
                <w:color w:val="auto"/>
                <w:szCs w:val="24"/>
                <w:highlight w:val="none"/>
              </w:rPr>
            </w:pPr>
          </w:p>
        </w:tc>
        <w:tc>
          <w:tcPr>
            <w:tcW w:w="1139" w:type="dxa"/>
            <w:vAlign w:val="center"/>
          </w:tcPr>
          <w:p>
            <w:pPr>
              <w:adjustRightInd w:val="0"/>
              <w:snapToGrid w:val="0"/>
              <w:spacing w:line="360" w:lineRule="auto"/>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5" w:type="dxa"/>
            <w:vAlign w:val="center"/>
          </w:tcPr>
          <w:p>
            <w:pPr>
              <w:adjustRightInd w:val="0"/>
              <w:snapToGrid w:val="0"/>
              <w:spacing w:line="360" w:lineRule="auto"/>
              <w:jc w:val="center"/>
              <w:rPr>
                <w:rFonts w:ascii="宋体" w:hAnsi="宋体" w:cs="宋体"/>
                <w:color w:val="auto"/>
                <w:szCs w:val="24"/>
                <w:highlight w:val="none"/>
              </w:rPr>
            </w:pPr>
          </w:p>
        </w:tc>
        <w:tc>
          <w:tcPr>
            <w:tcW w:w="1146" w:type="dxa"/>
            <w:vAlign w:val="center"/>
          </w:tcPr>
          <w:p>
            <w:pPr>
              <w:adjustRightInd w:val="0"/>
              <w:snapToGrid w:val="0"/>
              <w:spacing w:line="360" w:lineRule="auto"/>
              <w:jc w:val="center"/>
              <w:rPr>
                <w:rFonts w:ascii="宋体" w:hAnsi="宋体" w:cs="宋体"/>
                <w:color w:val="auto"/>
                <w:szCs w:val="24"/>
                <w:highlight w:val="none"/>
              </w:rPr>
            </w:pPr>
          </w:p>
        </w:tc>
        <w:tc>
          <w:tcPr>
            <w:tcW w:w="1329" w:type="dxa"/>
            <w:vAlign w:val="center"/>
          </w:tcPr>
          <w:p>
            <w:pPr>
              <w:adjustRightInd w:val="0"/>
              <w:snapToGrid w:val="0"/>
              <w:spacing w:line="360" w:lineRule="auto"/>
              <w:jc w:val="center"/>
              <w:rPr>
                <w:rFonts w:ascii="宋体" w:hAnsi="宋体" w:cs="宋体"/>
                <w:color w:val="auto"/>
                <w:szCs w:val="24"/>
                <w:highlight w:val="none"/>
              </w:rPr>
            </w:pPr>
          </w:p>
        </w:tc>
        <w:tc>
          <w:tcPr>
            <w:tcW w:w="2822" w:type="dxa"/>
            <w:vAlign w:val="center"/>
          </w:tcPr>
          <w:p>
            <w:pPr>
              <w:adjustRightInd w:val="0"/>
              <w:snapToGrid w:val="0"/>
              <w:spacing w:line="360" w:lineRule="auto"/>
              <w:jc w:val="center"/>
              <w:rPr>
                <w:rFonts w:ascii="宋体" w:hAnsi="宋体" w:cs="宋体"/>
                <w:color w:val="auto"/>
                <w:szCs w:val="24"/>
                <w:highlight w:val="none"/>
              </w:rPr>
            </w:pPr>
          </w:p>
        </w:tc>
        <w:tc>
          <w:tcPr>
            <w:tcW w:w="1325" w:type="dxa"/>
            <w:vAlign w:val="center"/>
          </w:tcPr>
          <w:p>
            <w:pPr>
              <w:adjustRightInd w:val="0"/>
              <w:snapToGrid w:val="0"/>
              <w:spacing w:line="360" w:lineRule="auto"/>
              <w:jc w:val="center"/>
              <w:rPr>
                <w:rFonts w:ascii="宋体" w:hAnsi="宋体" w:cs="宋体"/>
                <w:color w:val="auto"/>
                <w:szCs w:val="24"/>
                <w:highlight w:val="none"/>
              </w:rPr>
            </w:pPr>
          </w:p>
        </w:tc>
        <w:tc>
          <w:tcPr>
            <w:tcW w:w="1139" w:type="dxa"/>
            <w:vAlign w:val="center"/>
          </w:tcPr>
          <w:p>
            <w:pPr>
              <w:adjustRightInd w:val="0"/>
              <w:snapToGrid w:val="0"/>
              <w:spacing w:line="360" w:lineRule="auto"/>
              <w:jc w:val="center"/>
              <w:rPr>
                <w:rFonts w:ascii="宋体" w:hAnsi="宋体" w:cs="宋体"/>
                <w:color w:val="auto"/>
                <w:szCs w:val="24"/>
                <w:highlight w:val="none"/>
              </w:rPr>
            </w:pPr>
          </w:p>
        </w:tc>
      </w:tr>
    </w:tbl>
    <w:p>
      <w:pPr>
        <w:spacing w:line="360" w:lineRule="auto"/>
        <w:rPr>
          <w:rFonts w:ascii="宋体" w:hAnsi="宋体" w:cs="宋体"/>
          <w:b/>
          <w:color w:val="auto"/>
          <w:szCs w:val="24"/>
          <w:highlight w:val="none"/>
          <w:u w:val="double"/>
        </w:rPr>
      </w:pPr>
      <w:r>
        <w:rPr>
          <w:rFonts w:hint="eastAsia" w:ascii="宋体" w:hAnsi="宋体" w:cs="宋体"/>
          <w:b/>
          <w:color w:val="auto"/>
          <w:szCs w:val="24"/>
          <w:highlight w:val="none"/>
          <w:u w:val="double"/>
        </w:rPr>
        <w:t>填表说明及要求，本表附件（须附在本表格之后）：</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1.  请在此表内填写拟派项目组人员情况；</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2.  所提交的证明材料内容请参照本项目的评审子项要求，否则在评审时该项证明材料无效。</w:t>
      </w:r>
    </w:p>
    <w:p>
      <w:pPr>
        <w:tabs>
          <w:tab w:val="left" w:pos="540"/>
        </w:tabs>
        <w:snapToGrid w:val="0"/>
        <w:spacing w:line="360" w:lineRule="auto"/>
        <w:rPr>
          <w:rFonts w:ascii="宋体" w:hAnsi="宋体" w:cs="宋体"/>
          <w:color w:val="auto"/>
          <w:szCs w:val="24"/>
          <w:highlight w:val="none"/>
          <w:lang w:val="en-GB"/>
        </w:rPr>
      </w:pPr>
      <w:r>
        <w:rPr>
          <w:rFonts w:hint="eastAsia" w:ascii="宋体" w:hAnsi="宋体" w:cs="宋体"/>
          <w:color w:val="auto"/>
          <w:szCs w:val="24"/>
          <w:highlight w:val="none"/>
          <w:lang w:val="en-GB"/>
        </w:rPr>
        <w:t>3.  提供上述人员的资格证书（如有）复印件；</w:t>
      </w:r>
    </w:p>
    <w:p>
      <w:pPr>
        <w:tabs>
          <w:tab w:val="left" w:pos="540"/>
        </w:tabs>
        <w:snapToGrid w:val="0"/>
        <w:spacing w:line="360" w:lineRule="auto"/>
        <w:rPr>
          <w:rFonts w:ascii="宋体" w:hAnsi="宋体" w:cs="宋体"/>
          <w:color w:val="auto"/>
          <w:szCs w:val="24"/>
          <w:highlight w:val="none"/>
          <w:u w:val="wave"/>
          <w:lang w:val="en-GB"/>
        </w:rPr>
      </w:pPr>
      <w:r>
        <w:rPr>
          <w:rFonts w:hint="eastAsia" w:ascii="宋体" w:hAnsi="宋体" w:cs="宋体"/>
          <w:color w:val="auto"/>
          <w:szCs w:val="24"/>
          <w:highlight w:val="none"/>
          <w:lang w:val="en-GB"/>
        </w:rPr>
        <w:t xml:space="preserve">4.  </w:t>
      </w:r>
      <w:r>
        <w:rPr>
          <w:rFonts w:hint="eastAsia" w:ascii="宋体" w:hAnsi="宋体" w:cs="宋体"/>
          <w:color w:val="auto"/>
          <w:szCs w:val="24"/>
          <w:highlight w:val="none"/>
          <w:u w:val="wave"/>
          <w:lang w:val="en-GB"/>
        </w:rPr>
        <w:t>证明材料（复印件）均须加盖供应商单位公章。</w:t>
      </w:r>
    </w:p>
    <w:p>
      <w:pPr>
        <w:spacing w:line="360" w:lineRule="auto"/>
        <w:rPr>
          <w:rFonts w:ascii="宋体" w:hAnsi="宋体" w:cs="宋体"/>
          <w:color w:val="auto"/>
          <w:szCs w:val="24"/>
          <w:highlight w:val="none"/>
        </w:rPr>
      </w:pP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t>4.6 其它承诺</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（注：供应商根据自身情况扼要叙述，其内容由供应商自拟)</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tabs>
          <w:tab w:val="left" w:pos="-3780"/>
        </w:tabs>
        <w:spacing w:line="360" w:lineRule="auto"/>
        <w:rPr>
          <w:rFonts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（公司名称）          </w:t>
      </w:r>
      <w:r>
        <w:rPr>
          <w:rFonts w:hint="eastAsia" w:ascii="宋体" w:hAnsi="宋体" w:cs="宋体"/>
          <w:color w:val="auto"/>
          <w:szCs w:val="24"/>
          <w:highlight w:val="none"/>
        </w:rPr>
        <w:t>（盖公章）</w:t>
      </w:r>
    </w:p>
    <w:p>
      <w:pPr>
        <w:tabs>
          <w:tab w:val="left" w:pos="-3780"/>
        </w:tabs>
        <w:spacing w:line="360" w:lineRule="auto"/>
        <w:rPr>
          <w:rFonts w:ascii="宋体" w:hAnsi="宋体" w:cs="宋体"/>
          <w:color w:val="auto"/>
          <w:szCs w:val="24"/>
          <w:highlight w:val="none"/>
          <w:u w:val="single"/>
        </w:rPr>
      </w:pPr>
      <w:r>
        <w:rPr>
          <w:rFonts w:hint="eastAsia" w:ascii="宋体" w:hAnsi="宋体" w:cs="宋体"/>
          <w:color w:val="auto"/>
          <w:szCs w:val="24"/>
          <w:highlight w:val="none"/>
        </w:rPr>
        <w:t>法定代表人（或全权代表）：</w:t>
      </w:r>
      <w:r>
        <w:rPr>
          <w:rFonts w:hint="eastAsia" w:ascii="宋体" w:hAnsi="宋体" w:cs="宋体"/>
          <w:color w:val="auto"/>
          <w:szCs w:val="24"/>
          <w:highlight w:val="none"/>
          <w:u w:val="single"/>
        </w:rPr>
        <w:t xml:space="preserve">    （签名或签章）  </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日期：    年    月    日</w:t>
      </w:r>
    </w:p>
    <w:p>
      <w:pPr>
        <w:spacing w:line="360" w:lineRule="auto"/>
        <w:rPr>
          <w:rFonts w:ascii="宋体" w:hAnsi="宋体" w:cs="宋体"/>
          <w:color w:val="auto"/>
          <w:szCs w:val="24"/>
          <w:highlight w:val="none"/>
        </w:rPr>
      </w:pP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t>4.7 其它事项说明</w:t>
      </w:r>
    </w:p>
    <w:p>
      <w:pPr>
        <w:spacing w:line="360" w:lineRule="auto"/>
        <w:jc w:val="center"/>
        <w:rPr>
          <w:rFonts w:ascii="宋体" w:hAnsi="宋体" w:cs="宋体"/>
          <w:color w:val="auto"/>
          <w:szCs w:val="24"/>
          <w:highlight w:val="none"/>
        </w:rPr>
      </w:pPr>
      <w:r>
        <w:rPr>
          <w:rFonts w:hint="eastAsia" w:ascii="宋体" w:hAnsi="宋体" w:cs="宋体"/>
          <w:color w:val="auto"/>
          <w:szCs w:val="24"/>
          <w:highlight w:val="none"/>
        </w:rPr>
        <w:t>（注：供应商根据自身情况扼要叙述，其内容由供应商自拟)</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6"/>
        <w:spacing w:line="360" w:lineRule="auto"/>
        <w:jc w:val="center"/>
        <w:rPr>
          <w:rFonts w:ascii="宋体" w:hAnsi="宋体" w:cs="宋体"/>
          <w:color w:val="auto"/>
          <w:sz w:val="48"/>
          <w:szCs w:val="48"/>
          <w:highlight w:val="none"/>
        </w:rPr>
      </w:pPr>
      <w:bookmarkStart w:id="133" w:name="_Toc14935"/>
      <w:r>
        <w:rPr>
          <w:rFonts w:hint="eastAsia" w:ascii="宋体" w:hAnsi="宋体" w:cs="宋体"/>
          <w:color w:val="auto"/>
          <w:sz w:val="48"/>
          <w:szCs w:val="48"/>
          <w:highlight w:val="none"/>
        </w:rPr>
        <w:t>第五章  技术部分</w:t>
      </w:r>
      <w:bookmarkEnd w:id="133"/>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7"/>
        <w:spacing w:after="156" w:afterLines="50"/>
        <w:jc w:val="center"/>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Cs w:val="24"/>
          <w:highlight w:val="none"/>
        </w:rPr>
        <w:t>5.1 技术条款差异说明表</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采购项目名称：</w:t>
      </w:r>
      <w:r>
        <w:rPr>
          <w:rFonts w:hint="eastAsia" w:ascii="宋体" w:hAnsi="宋体" w:cs="宋体"/>
          <w:color w:val="auto"/>
          <w:szCs w:val="24"/>
          <w:highlight w:val="none"/>
          <w:lang w:eastAsia="zh-CN"/>
        </w:rPr>
        <w:t>佛山市公安局禅城分局2024年度车辆保险项目</w:t>
      </w:r>
      <w:r>
        <w:rPr>
          <w:rFonts w:hint="eastAsia" w:ascii="宋体" w:hAnsi="宋体" w:cs="宋体"/>
          <w:color w:val="auto"/>
          <w:szCs w:val="24"/>
          <w:highlight w:val="none"/>
        </w:rPr>
        <w:t xml:space="preserve"> </w:t>
      </w:r>
    </w:p>
    <w:p>
      <w:pPr>
        <w:spacing w:line="36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采购项目编号：</w:t>
      </w:r>
      <w:r>
        <w:rPr>
          <w:rFonts w:hint="eastAsia" w:ascii="宋体" w:hAnsi="宋体" w:cs="宋体"/>
          <w:color w:val="auto"/>
          <w:szCs w:val="24"/>
          <w:highlight w:val="none"/>
          <w:lang w:eastAsia="zh-CN"/>
        </w:rPr>
        <w:t>HRC23FSCS1001</w:t>
      </w:r>
    </w:p>
    <w:tbl>
      <w:tblPr>
        <w:tblStyle w:val="31"/>
        <w:tblW w:w="9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3540"/>
        <w:gridCol w:w="3056"/>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8" w:type="dxa"/>
            <w:tcBorders>
              <w:top w:val="single" w:color="auto" w:sz="12" w:space="0"/>
              <w:bottom w:val="double" w:color="auto" w:sz="4" w:space="0"/>
            </w:tcBorders>
            <w:shd w:val="clear" w:color="auto" w:fill="D7D7D7"/>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序号</w:t>
            </w:r>
          </w:p>
        </w:tc>
        <w:tc>
          <w:tcPr>
            <w:tcW w:w="3540" w:type="dxa"/>
            <w:tcBorders>
              <w:top w:val="single" w:color="auto" w:sz="12" w:space="0"/>
              <w:bottom w:val="double" w:color="auto" w:sz="4" w:space="0"/>
            </w:tcBorders>
            <w:shd w:val="clear" w:color="auto" w:fill="D7D7D7"/>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磋商文件条款描述</w:t>
            </w:r>
          </w:p>
        </w:tc>
        <w:tc>
          <w:tcPr>
            <w:tcW w:w="3056" w:type="dxa"/>
            <w:tcBorders>
              <w:top w:val="single" w:color="auto" w:sz="12" w:space="0"/>
              <w:bottom w:val="double" w:color="auto" w:sz="4" w:space="0"/>
              <w:right w:val="single" w:color="auto" w:sz="2" w:space="0"/>
            </w:tcBorders>
            <w:shd w:val="clear" w:color="auto" w:fill="D7D7D7"/>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响应文件条款</w:t>
            </w:r>
          </w:p>
        </w:tc>
        <w:tc>
          <w:tcPr>
            <w:tcW w:w="2410" w:type="dxa"/>
            <w:tcBorders>
              <w:top w:val="single" w:color="auto" w:sz="12" w:space="0"/>
              <w:left w:val="single" w:color="auto" w:sz="2" w:space="0"/>
              <w:bottom w:val="double" w:color="auto" w:sz="4" w:space="0"/>
            </w:tcBorders>
            <w:shd w:val="clear" w:color="auto" w:fill="D7D7D7"/>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偏离情况</w:t>
            </w:r>
          </w:p>
          <w:p>
            <w:pPr>
              <w:pStyle w:val="129"/>
              <w:jc w:val="center"/>
              <w:rPr>
                <w:rFonts w:ascii="宋体" w:hAnsi="宋体"/>
                <w:b/>
                <w:bCs/>
                <w:color w:val="auto"/>
                <w:sz w:val="24"/>
                <w:highlight w:val="none"/>
              </w:rPr>
            </w:pPr>
            <w:r>
              <w:rPr>
                <w:rFonts w:hint="eastAsia" w:ascii="宋体" w:hAnsi="宋体"/>
                <w:b/>
                <w:bCs/>
                <w:color w:val="auto"/>
                <w:sz w:val="24"/>
                <w:highlight w:val="none"/>
              </w:rPr>
              <w:t>（正/无/负偏离）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08" w:type="dxa"/>
            <w:vAlign w:val="center"/>
          </w:tcPr>
          <w:p>
            <w:pPr>
              <w:pStyle w:val="131"/>
              <w:numPr>
                <w:ilvl w:val="0"/>
                <w:numId w:val="68"/>
              </w:numPr>
              <w:tabs>
                <w:tab w:val="clear" w:pos="142"/>
              </w:tabs>
              <w:jc w:val="center"/>
              <w:rPr>
                <w:rFonts w:ascii="宋体" w:hAnsi="宋体" w:cs="宋体"/>
                <w:color w:val="auto"/>
                <w:szCs w:val="21"/>
                <w:highlight w:val="none"/>
              </w:rPr>
            </w:pPr>
          </w:p>
        </w:tc>
        <w:tc>
          <w:tcPr>
            <w:tcW w:w="3540" w:type="dxa"/>
            <w:vAlign w:val="center"/>
          </w:tcPr>
          <w:p>
            <w:pPr>
              <w:pStyle w:val="131"/>
              <w:ind w:left="-89" w:leftChars="-37" w:right="-91" w:rightChars="-38"/>
              <w:jc w:val="center"/>
              <w:rPr>
                <w:rFonts w:ascii="宋体" w:hAnsi="宋体" w:cs="宋体"/>
                <w:color w:val="auto"/>
                <w:highlight w:val="none"/>
              </w:rPr>
            </w:pPr>
          </w:p>
        </w:tc>
        <w:tc>
          <w:tcPr>
            <w:tcW w:w="3056" w:type="dxa"/>
            <w:tcBorders>
              <w:right w:val="single" w:color="auto" w:sz="2" w:space="0"/>
            </w:tcBorders>
            <w:vAlign w:val="center"/>
          </w:tcPr>
          <w:p>
            <w:pPr>
              <w:pStyle w:val="131"/>
              <w:ind w:left="-89" w:leftChars="-37" w:right="-91" w:rightChars="-38"/>
              <w:jc w:val="left"/>
              <w:rPr>
                <w:rFonts w:ascii="宋体" w:hAnsi="宋体" w:cs="宋体"/>
                <w:color w:val="auto"/>
                <w:highlight w:val="none"/>
              </w:rPr>
            </w:pPr>
            <w:r>
              <w:rPr>
                <w:rFonts w:hint="eastAsia" w:ascii="宋体" w:hAnsi="宋体" w:cs="宋体"/>
                <w:color w:val="auto"/>
                <w:sz w:val="24"/>
                <w:highlight w:val="none"/>
              </w:rPr>
              <w:t>我单位完全理解和响应磋商文件中的技术条款及参数（非“★”“▲”项），不存在任何异议。</w:t>
            </w:r>
          </w:p>
        </w:tc>
        <w:tc>
          <w:tcPr>
            <w:tcW w:w="2410" w:type="dxa"/>
            <w:tcBorders>
              <w:left w:val="single" w:color="auto" w:sz="2" w:space="0"/>
            </w:tcBorders>
            <w:vAlign w:val="center"/>
          </w:tcPr>
          <w:p>
            <w:pPr>
              <w:pStyle w:val="131"/>
              <w:ind w:left="-89" w:leftChars="-37" w:right="-91" w:rightChars="-38"/>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8" w:type="dxa"/>
            <w:vAlign w:val="center"/>
          </w:tcPr>
          <w:p>
            <w:pPr>
              <w:pStyle w:val="131"/>
              <w:numPr>
                <w:ilvl w:val="0"/>
                <w:numId w:val="68"/>
              </w:numPr>
              <w:tabs>
                <w:tab w:val="clear" w:pos="142"/>
              </w:tabs>
              <w:jc w:val="center"/>
              <w:rPr>
                <w:rFonts w:ascii="宋体" w:hAnsi="宋体" w:cs="宋体"/>
                <w:color w:val="auto"/>
                <w:szCs w:val="21"/>
                <w:highlight w:val="none"/>
              </w:rPr>
            </w:pPr>
          </w:p>
        </w:tc>
        <w:tc>
          <w:tcPr>
            <w:tcW w:w="3540" w:type="dxa"/>
            <w:vAlign w:val="center"/>
          </w:tcPr>
          <w:p>
            <w:pPr>
              <w:pStyle w:val="131"/>
              <w:ind w:left="-89" w:leftChars="-37" w:right="-91" w:rightChars="-38"/>
              <w:jc w:val="center"/>
              <w:rPr>
                <w:rFonts w:ascii="宋体" w:hAnsi="宋体" w:cs="宋体"/>
                <w:color w:val="auto"/>
                <w:highlight w:val="none"/>
              </w:rPr>
            </w:pPr>
          </w:p>
        </w:tc>
        <w:tc>
          <w:tcPr>
            <w:tcW w:w="3056" w:type="dxa"/>
            <w:tcBorders>
              <w:right w:val="single" w:color="auto" w:sz="2" w:space="0"/>
            </w:tcBorders>
            <w:vAlign w:val="center"/>
          </w:tcPr>
          <w:p>
            <w:pPr>
              <w:pStyle w:val="131"/>
              <w:ind w:left="-89" w:leftChars="-37" w:right="-91" w:rightChars="-38"/>
              <w:jc w:val="center"/>
              <w:rPr>
                <w:rFonts w:ascii="宋体" w:hAnsi="宋体" w:cs="宋体"/>
                <w:color w:val="auto"/>
                <w:highlight w:val="none"/>
              </w:rPr>
            </w:pPr>
          </w:p>
        </w:tc>
        <w:tc>
          <w:tcPr>
            <w:tcW w:w="2410" w:type="dxa"/>
            <w:tcBorders>
              <w:left w:val="single" w:color="auto" w:sz="2" w:space="0"/>
            </w:tcBorders>
            <w:vAlign w:val="center"/>
          </w:tcPr>
          <w:p>
            <w:pPr>
              <w:pStyle w:val="131"/>
              <w:ind w:left="-89" w:leftChars="-37" w:right="-91" w:rightChars="-38"/>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8" w:type="dxa"/>
            <w:vAlign w:val="center"/>
          </w:tcPr>
          <w:p>
            <w:pPr>
              <w:pStyle w:val="131"/>
              <w:numPr>
                <w:ilvl w:val="0"/>
                <w:numId w:val="68"/>
              </w:numPr>
              <w:tabs>
                <w:tab w:val="clear" w:pos="142"/>
              </w:tabs>
              <w:jc w:val="center"/>
              <w:rPr>
                <w:rFonts w:ascii="宋体" w:hAnsi="宋体" w:cs="宋体"/>
                <w:color w:val="auto"/>
                <w:szCs w:val="21"/>
                <w:highlight w:val="none"/>
              </w:rPr>
            </w:pPr>
          </w:p>
        </w:tc>
        <w:tc>
          <w:tcPr>
            <w:tcW w:w="3540" w:type="dxa"/>
            <w:vAlign w:val="center"/>
          </w:tcPr>
          <w:p>
            <w:pPr>
              <w:pStyle w:val="131"/>
              <w:ind w:left="-89" w:leftChars="-37" w:right="-91" w:rightChars="-38"/>
              <w:jc w:val="center"/>
              <w:rPr>
                <w:rFonts w:ascii="宋体" w:hAnsi="宋体" w:cs="宋体"/>
                <w:color w:val="auto"/>
                <w:highlight w:val="none"/>
              </w:rPr>
            </w:pPr>
          </w:p>
        </w:tc>
        <w:tc>
          <w:tcPr>
            <w:tcW w:w="3056" w:type="dxa"/>
            <w:tcBorders>
              <w:right w:val="single" w:color="auto" w:sz="2" w:space="0"/>
            </w:tcBorders>
            <w:vAlign w:val="center"/>
          </w:tcPr>
          <w:p>
            <w:pPr>
              <w:pStyle w:val="131"/>
              <w:ind w:left="-89" w:leftChars="-37" w:right="-91" w:rightChars="-38"/>
              <w:jc w:val="center"/>
              <w:rPr>
                <w:rFonts w:ascii="宋体" w:hAnsi="宋体" w:cs="宋体"/>
                <w:color w:val="auto"/>
                <w:highlight w:val="none"/>
              </w:rPr>
            </w:pPr>
          </w:p>
        </w:tc>
        <w:tc>
          <w:tcPr>
            <w:tcW w:w="2410" w:type="dxa"/>
            <w:tcBorders>
              <w:left w:val="single" w:color="auto" w:sz="2" w:space="0"/>
            </w:tcBorders>
            <w:vAlign w:val="center"/>
          </w:tcPr>
          <w:p>
            <w:pPr>
              <w:pStyle w:val="131"/>
              <w:ind w:left="-89" w:leftChars="-37" w:right="-91" w:rightChars="-38"/>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8" w:type="dxa"/>
            <w:vAlign w:val="center"/>
          </w:tcPr>
          <w:p>
            <w:pPr>
              <w:pStyle w:val="131"/>
              <w:numPr>
                <w:ilvl w:val="0"/>
                <w:numId w:val="68"/>
              </w:numPr>
              <w:tabs>
                <w:tab w:val="clear" w:pos="142"/>
              </w:tabs>
              <w:jc w:val="center"/>
              <w:rPr>
                <w:rFonts w:ascii="宋体" w:hAnsi="宋体" w:cs="宋体"/>
                <w:color w:val="auto"/>
                <w:szCs w:val="21"/>
                <w:highlight w:val="none"/>
              </w:rPr>
            </w:pPr>
          </w:p>
        </w:tc>
        <w:tc>
          <w:tcPr>
            <w:tcW w:w="3540" w:type="dxa"/>
            <w:vAlign w:val="center"/>
          </w:tcPr>
          <w:p>
            <w:pPr>
              <w:pStyle w:val="131"/>
              <w:ind w:left="-89" w:leftChars="-37" w:right="-91" w:rightChars="-38"/>
              <w:jc w:val="center"/>
              <w:rPr>
                <w:rFonts w:ascii="宋体" w:hAnsi="宋体" w:cs="宋体"/>
                <w:color w:val="auto"/>
                <w:highlight w:val="none"/>
              </w:rPr>
            </w:pPr>
          </w:p>
        </w:tc>
        <w:tc>
          <w:tcPr>
            <w:tcW w:w="3056" w:type="dxa"/>
            <w:tcBorders>
              <w:right w:val="single" w:color="auto" w:sz="2" w:space="0"/>
            </w:tcBorders>
            <w:vAlign w:val="center"/>
          </w:tcPr>
          <w:p>
            <w:pPr>
              <w:pStyle w:val="131"/>
              <w:ind w:left="-89" w:leftChars="-37" w:right="-91" w:rightChars="-38"/>
              <w:jc w:val="center"/>
              <w:rPr>
                <w:rFonts w:ascii="宋体" w:hAnsi="宋体" w:cs="宋体"/>
                <w:color w:val="auto"/>
                <w:highlight w:val="none"/>
              </w:rPr>
            </w:pPr>
          </w:p>
        </w:tc>
        <w:tc>
          <w:tcPr>
            <w:tcW w:w="2410" w:type="dxa"/>
            <w:tcBorders>
              <w:left w:val="single" w:color="auto" w:sz="2" w:space="0"/>
            </w:tcBorders>
            <w:vAlign w:val="center"/>
          </w:tcPr>
          <w:p>
            <w:pPr>
              <w:pStyle w:val="131"/>
              <w:ind w:left="-89" w:leftChars="-37" w:right="-91" w:rightChars="-38"/>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14" w:type="dxa"/>
            <w:gridSpan w:val="4"/>
            <w:vAlign w:val="center"/>
          </w:tcPr>
          <w:p>
            <w:pPr>
              <w:pStyle w:val="131"/>
              <w:ind w:left="-89" w:leftChars="-37" w:right="-91" w:rightChars="-38"/>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技术条款承诺</w:t>
            </w:r>
          </w:p>
          <w:p>
            <w:pPr>
              <w:pStyle w:val="131"/>
              <w:ind w:left="-89" w:leftChars="-37" w:right="-91" w:rightChars="-38"/>
              <w:jc w:val="left"/>
              <w:rPr>
                <w:rFonts w:ascii="宋体" w:hAnsi="宋体" w:cs="宋体"/>
                <w:color w:val="auto"/>
                <w:sz w:val="24"/>
                <w:highlight w:val="none"/>
              </w:rPr>
            </w:pPr>
            <w:r>
              <w:rPr>
                <w:rFonts w:hint="eastAsia" w:ascii="宋体" w:hAnsi="宋体" w:cs="宋体"/>
                <w:color w:val="auto"/>
                <w:sz w:val="24"/>
                <w:highlight w:val="none"/>
              </w:rPr>
              <w:t>1、在上述承诺基础上，若我单位对技术条款中的选择项（具有选择性的技术条款）未能提</w:t>
            </w:r>
          </w:p>
          <w:p>
            <w:pPr>
              <w:pStyle w:val="131"/>
              <w:ind w:left="-89" w:leftChars="-37" w:right="-91" w:rightChars="-38"/>
              <w:jc w:val="left"/>
              <w:rPr>
                <w:rFonts w:ascii="宋体" w:hAnsi="宋体" w:cs="宋体"/>
                <w:color w:val="auto"/>
                <w:sz w:val="24"/>
                <w:highlight w:val="none"/>
              </w:rPr>
            </w:pPr>
            <w:r>
              <w:rPr>
                <w:rFonts w:hint="eastAsia" w:ascii="宋体" w:hAnsi="宋体" w:cs="宋体"/>
                <w:color w:val="auto"/>
                <w:sz w:val="24"/>
                <w:highlight w:val="none"/>
              </w:rPr>
              <w:t>出差异说明，均响应并按照最优项提供。</w:t>
            </w:r>
          </w:p>
          <w:p>
            <w:pPr>
              <w:pStyle w:val="131"/>
              <w:ind w:left="-89" w:leftChars="-37" w:right="-91" w:rightChars="-38"/>
              <w:jc w:val="left"/>
              <w:rPr>
                <w:rFonts w:ascii="宋体" w:hAnsi="宋体" w:cs="宋体"/>
                <w:color w:val="auto"/>
                <w:sz w:val="24"/>
                <w:highlight w:val="none"/>
              </w:rPr>
            </w:pPr>
            <w:r>
              <w:rPr>
                <w:rFonts w:hint="eastAsia" w:ascii="宋体" w:hAnsi="宋体" w:cs="宋体"/>
                <w:color w:val="auto"/>
                <w:sz w:val="24"/>
                <w:highlight w:val="none"/>
              </w:rPr>
              <w:t>2、若本表与磋商文件其他内容有差异，以本表描述内容为主。</w:t>
            </w:r>
          </w:p>
          <w:p>
            <w:pPr>
              <w:pStyle w:val="131"/>
              <w:ind w:left="-89" w:leftChars="-37" w:right="-91" w:rightChars="-38"/>
              <w:jc w:val="left"/>
              <w:rPr>
                <w:rFonts w:ascii="宋体" w:hAnsi="宋体" w:cs="宋体"/>
                <w:color w:val="auto"/>
                <w:highlight w:val="none"/>
              </w:rPr>
            </w:pPr>
            <w:r>
              <w:rPr>
                <w:rFonts w:hint="eastAsia" w:ascii="宋体" w:hAnsi="宋体" w:cs="宋体"/>
                <w:color w:val="auto"/>
                <w:sz w:val="24"/>
                <w:highlight w:val="none"/>
              </w:rPr>
              <w:t>3、本表格空白则视为完全响应全部技术条款（非“★”“▲”项）。</w:t>
            </w:r>
          </w:p>
        </w:tc>
      </w:tr>
    </w:tbl>
    <w:p>
      <w:pPr>
        <w:spacing w:line="360" w:lineRule="auto"/>
        <w:rPr>
          <w:rFonts w:ascii="宋体" w:hAnsi="宋体" w:cs="宋体"/>
          <w:color w:val="auto"/>
          <w:szCs w:val="24"/>
          <w:highlight w:val="none"/>
        </w:rPr>
      </w:pPr>
    </w:p>
    <w:p>
      <w:pPr>
        <w:pStyle w:val="131"/>
        <w:spacing w:after="23"/>
        <w:rPr>
          <w:rFonts w:ascii="宋体" w:hAnsi="宋体" w:cs="宋体"/>
          <w:b/>
          <w:color w:val="auto"/>
          <w:sz w:val="24"/>
          <w:highlight w:val="none"/>
        </w:rPr>
      </w:pPr>
      <w:r>
        <w:rPr>
          <w:rFonts w:hint="eastAsia" w:ascii="宋体" w:hAnsi="宋体" w:cs="宋体"/>
          <w:b/>
          <w:color w:val="auto"/>
          <w:sz w:val="24"/>
          <w:highlight w:val="none"/>
          <w:u w:val="single"/>
        </w:rPr>
        <w:t>填表说明及要求：</w:t>
      </w:r>
    </w:p>
    <w:p>
      <w:pPr>
        <w:pStyle w:val="133"/>
        <w:spacing w:line="20" w:lineRule="exact"/>
        <w:ind w:left="397"/>
        <w:rPr>
          <w:rFonts w:ascii="宋体" w:hAnsi="宋体" w:cs="宋体"/>
          <w:color w:val="auto"/>
          <w:sz w:val="24"/>
          <w:szCs w:val="24"/>
          <w:highlight w:val="none"/>
        </w:rPr>
      </w:pPr>
    </w:p>
    <w:p>
      <w:pPr>
        <w:pStyle w:val="131"/>
        <w:adjustRightInd w:val="0"/>
        <w:snapToGrid w:val="0"/>
        <w:ind w:left="257" w:leftChars="107"/>
        <w:rPr>
          <w:rFonts w:ascii="宋体" w:hAnsi="宋体" w:cs="宋体"/>
          <w:color w:val="auto"/>
          <w:sz w:val="24"/>
          <w:highlight w:val="none"/>
        </w:rPr>
      </w:pPr>
      <w:r>
        <w:rPr>
          <w:rFonts w:hint="eastAsia" w:ascii="宋体" w:hAnsi="宋体" w:cs="宋体"/>
          <w:color w:val="auto"/>
          <w:sz w:val="24"/>
          <w:highlight w:val="none"/>
        </w:rPr>
        <w:t>(1)本表对应内容为磋商文件中的“采购项目技术要求”的非“★”“▲”项内容；</w:t>
      </w:r>
    </w:p>
    <w:p>
      <w:pPr>
        <w:pStyle w:val="131"/>
        <w:adjustRightInd w:val="0"/>
        <w:snapToGrid w:val="0"/>
        <w:ind w:left="257" w:leftChars="107"/>
        <w:rPr>
          <w:rFonts w:ascii="宋体" w:hAnsi="宋体" w:cs="宋体"/>
          <w:color w:val="auto"/>
          <w:sz w:val="24"/>
          <w:highlight w:val="none"/>
        </w:rPr>
      </w:pPr>
      <w:r>
        <w:rPr>
          <w:rFonts w:hint="eastAsia" w:ascii="宋体" w:hAnsi="宋体" w:cs="宋体"/>
          <w:color w:val="auto"/>
          <w:sz w:val="24"/>
          <w:highlight w:val="none"/>
        </w:rPr>
        <w:t>(2)本表中已填写的内容仅为参考，供应商可根据实际情况自行填写；</w:t>
      </w:r>
    </w:p>
    <w:p>
      <w:pPr>
        <w:pStyle w:val="131"/>
        <w:adjustRightInd w:val="0"/>
        <w:snapToGrid w:val="0"/>
        <w:ind w:left="257" w:leftChars="107"/>
        <w:rPr>
          <w:rFonts w:ascii="宋体" w:hAnsi="宋体" w:cs="宋体"/>
          <w:color w:val="auto"/>
          <w:sz w:val="24"/>
          <w:highlight w:val="none"/>
        </w:rPr>
      </w:pPr>
      <w:r>
        <w:rPr>
          <w:rFonts w:hint="eastAsia" w:ascii="宋体" w:hAnsi="宋体" w:cs="宋体"/>
          <w:color w:val="auto"/>
          <w:sz w:val="24"/>
          <w:highlight w:val="none"/>
        </w:rPr>
        <w:t>(3)完全响应情形。若供应商完全响应，则可按表中表述内容进行填写；</w:t>
      </w:r>
    </w:p>
    <w:p>
      <w:pPr>
        <w:pStyle w:val="131"/>
        <w:adjustRightInd w:val="0"/>
        <w:snapToGrid w:val="0"/>
        <w:ind w:left="257" w:leftChars="107"/>
        <w:rPr>
          <w:rFonts w:ascii="宋体" w:hAnsi="宋体" w:cs="宋体"/>
          <w:color w:val="auto"/>
          <w:sz w:val="24"/>
          <w:highlight w:val="none"/>
        </w:rPr>
      </w:pPr>
      <w:r>
        <w:rPr>
          <w:rFonts w:hint="eastAsia" w:ascii="宋体" w:hAnsi="宋体" w:cs="宋体"/>
          <w:color w:val="auto"/>
          <w:sz w:val="24"/>
          <w:highlight w:val="none"/>
        </w:rPr>
        <w:t>(4)偏离情形。若供应商存在偏离情况，则可按下述顺序进行填写：</w:t>
      </w:r>
    </w:p>
    <w:p>
      <w:pPr>
        <w:pStyle w:val="131"/>
        <w:adjustRightInd w:val="0"/>
        <w:snapToGrid w:val="0"/>
        <w:ind w:left="257" w:leftChars="107" w:firstLine="472" w:firstLineChars="197"/>
        <w:rPr>
          <w:rFonts w:ascii="宋体" w:hAnsi="宋体" w:cs="宋体"/>
          <w:color w:val="auto"/>
          <w:sz w:val="24"/>
          <w:highlight w:val="none"/>
        </w:rPr>
      </w:pPr>
      <w:r>
        <w:rPr>
          <w:rFonts w:hint="eastAsia" w:ascii="宋体" w:hAnsi="宋体" w:cs="宋体"/>
          <w:color w:val="auto"/>
          <w:sz w:val="24"/>
          <w:highlight w:val="none"/>
        </w:rPr>
        <w:t>1)在“磋商文件要求”栏中填写磋商文件的非“★”“▲”项的条款原文；</w:t>
      </w:r>
    </w:p>
    <w:p>
      <w:pPr>
        <w:pStyle w:val="131"/>
        <w:adjustRightInd w:val="0"/>
        <w:snapToGrid w:val="0"/>
        <w:ind w:left="257" w:leftChars="107" w:firstLine="472" w:firstLineChars="197"/>
        <w:rPr>
          <w:rFonts w:ascii="宋体" w:hAnsi="宋体" w:cs="宋体"/>
          <w:color w:val="auto"/>
          <w:sz w:val="24"/>
          <w:highlight w:val="none"/>
        </w:rPr>
      </w:pPr>
      <w:r>
        <w:rPr>
          <w:rFonts w:hint="eastAsia" w:ascii="宋体" w:hAnsi="宋体" w:cs="宋体"/>
          <w:color w:val="auto"/>
          <w:sz w:val="24"/>
          <w:highlight w:val="none"/>
        </w:rPr>
        <w:t>2)在“响应文件条款”栏中填写响应文件与上述第“1)”项对应内容的响应条款；</w:t>
      </w:r>
    </w:p>
    <w:p>
      <w:pPr>
        <w:pStyle w:val="131"/>
        <w:adjustRightInd w:val="0"/>
        <w:snapToGrid w:val="0"/>
        <w:ind w:left="257" w:leftChars="107" w:firstLine="472" w:firstLineChars="197"/>
        <w:rPr>
          <w:rFonts w:ascii="宋体" w:hAnsi="宋体" w:cs="宋体"/>
          <w:color w:val="auto"/>
          <w:sz w:val="24"/>
          <w:highlight w:val="none"/>
        </w:rPr>
      </w:pPr>
      <w:r>
        <w:rPr>
          <w:rFonts w:hint="eastAsia" w:ascii="宋体" w:hAnsi="宋体" w:cs="宋体"/>
          <w:color w:val="auto"/>
          <w:sz w:val="24"/>
          <w:highlight w:val="none"/>
        </w:rPr>
        <w:t>3)在“偏离情况（正/无/负偏离）”栏中填写偏离情况，如：正偏离、无偏离、负偏离；</w:t>
      </w:r>
    </w:p>
    <w:p>
      <w:pPr>
        <w:pStyle w:val="131"/>
        <w:adjustRightInd w:val="0"/>
        <w:snapToGrid w:val="0"/>
        <w:ind w:left="257" w:leftChars="107"/>
        <w:rPr>
          <w:rFonts w:ascii="宋体" w:hAnsi="宋体" w:cs="宋体"/>
          <w:color w:val="auto"/>
          <w:sz w:val="24"/>
          <w:highlight w:val="none"/>
        </w:rPr>
      </w:pPr>
      <w:r>
        <w:rPr>
          <w:rFonts w:hint="eastAsia" w:ascii="宋体" w:hAnsi="宋体" w:cs="宋体"/>
          <w:color w:val="auto"/>
          <w:sz w:val="24"/>
          <w:highlight w:val="none"/>
        </w:rPr>
        <w:t>(5)本表可在原有基础上增项填写；</w:t>
      </w:r>
    </w:p>
    <w:p>
      <w:pPr>
        <w:pStyle w:val="131"/>
        <w:adjustRightInd w:val="0"/>
        <w:snapToGrid w:val="0"/>
        <w:ind w:left="257" w:leftChars="107"/>
        <w:rPr>
          <w:rFonts w:ascii="宋体" w:hAnsi="宋体" w:cs="宋体"/>
          <w:b/>
          <w:bCs/>
          <w:color w:val="auto"/>
          <w:sz w:val="24"/>
          <w:highlight w:val="none"/>
        </w:rPr>
      </w:pPr>
      <w:r>
        <w:rPr>
          <w:rFonts w:hint="eastAsia" w:ascii="宋体" w:hAnsi="宋体" w:cs="宋体"/>
          <w:color w:val="auto"/>
          <w:sz w:val="24"/>
          <w:highlight w:val="none"/>
        </w:rPr>
        <w:t>(6)编制响应文件时此注释文字可删除。</w:t>
      </w:r>
    </w:p>
    <w:p>
      <w:pPr>
        <w:spacing w:line="360" w:lineRule="auto"/>
        <w:rPr>
          <w:rFonts w:ascii="宋体" w:hAnsi="宋体" w:cs="宋体"/>
          <w:color w:val="auto"/>
          <w:szCs w:val="24"/>
          <w:highlight w:val="none"/>
        </w:rPr>
      </w:pPr>
    </w:p>
    <w:p>
      <w:pPr>
        <w:pStyle w:val="131"/>
        <w:adjustRightInd w:val="0"/>
        <w:snapToGrid w:val="0"/>
        <w:ind w:left="257" w:leftChars="107"/>
        <w:jc w:val="righ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（公司名称）          （盖公章）</w:t>
      </w:r>
    </w:p>
    <w:p>
      <w:pPr>
        <w:pStyle w:val="131"/>
        <w:adjustRightInd w:val="0"/>
        <w:snapToGrid w:val="0"/>
        <w:ind w:left="257" w:leftChars="107"/>
        <w:jc w:val="right"/>
        <w:rPr>
          <w:rFonts w:ascii="宋体" w:hAnsi="宋体" w:cs="宋体"/>
          <w:color w:val="auto"/>
          <w:sz w:val="24"/>
          <w:highlight w:val="none"/>
        </w:rPr>
      </w:pPr>
      <w:r>
        <w:rPr>
          <w:rFonts w:hint="eastAsia" w:ascii="宋体" w:hAnsi="宋体" w:cs="宋体"/>
          <w:color w:val="auto"/>
          <w:sz w:val="24"/>
          <w:highlight w:val="none"/>
        </w:rPr>
        <w:t>法定代表人（或全权代表）：</w:t>
      </w:r>
      <w:r>
        <w:rPr>
          <w:rFonts w:hint="eastAsia" w:ascii="宋体" w:hAnsi="宋体" w:cs="宋体"/>
          <w:color w:val="auto"/>
          <w:sz w:val="24"/>
          <w:highlight w:val="none"/>
          <w:u w:val="single"/>
        </w:rPr>
        <w:t xml:space="preserve">    （签字或签章）</w:t>
      </w:r>
    </w:p>
    <w:p>
      <w:pPr>
        <w:pStyle w:val="131"/>
        <w:adjustRightInd w:val="0"/>
        <w:snapToGrid w:val="0"/>
        <w:ind w:left="257" w:leftChars="107"/>
        <w:jc w:val="right"/>
        <w:rPr>
          <w:rFonts w:ascii="宋体" w:hAnsi="宋体" w:cs="宋体"/>
          <w:color w:val="auto"/>
          <w:sz w:val="24"/>
          <w:highlight w:val="none"/>
        </w:rPr>
      </w:pPr>
      <w:r>
        <w:rPr>
          <w:rFonts w:hint="eastAsia" w:ascii="宋体" w:hAnsi="宋体" w:cs="宋体"/>
          <w:color w:val="auto"/>
          <w:sz w:val="24"/>
          <w:highlight w:val="none"/>
        </w:rPr>
        <w:t>承诺日期：年月日</w:t>
      </w:r>
    </w:p>
    <w:p>
      <w:pPr>
        <w:pStyle w:val="2"/>
        <w:rPr>
          <w:rFonts w:cs="宋体"/>
          <w:color w:val="auto"/>
          <w:szCs w:val="24"/>
          <w:highlight w:val="none"/>
        </w:rPr>
      </w:pPr>
    </w:p>
    <w:p>
      <w:pPr>
        <w:pStyle w:val="2"/>
        <w:rPr>
          <w:rFonts w:cs="宋体"/>
          <w:color w:val="auto"/>
          <w:szCs w:val="24"/>
          <w:highlight w:val="none"/>
        </w:rPr>
      </w:pPr>
    </w:p>
    <w:p>
      <w:pPr>
        <w:pStyle w:val="129"/>
        <w:jc w:val="center"/>
        <w:rPr>
          <w:rFonts w:ascii="宋体" w:hAnsi="宋体"/>
          <w:color w:val="auto"/>
          <w:szCs w:val="21"/>
          <w:highlight w:val="none"/>
        </w:rPr>
      </w:pPr>
      <w:r>
        <w:rPr>
          <w:rFonts w:hint="eastAsia"/>
          <w:color w:val="auto"/>
          <w:sz w:val="32"/>
          <w:szCs w:val="32"/>
          <w:highlight w:val="none"/>
        </w:rPr>
        <w:t>实质性条款（“★”项）响应表（如有）</w:t>
      </w:r>
    </w:p>
    <w:tbl>
      <w:tblPr>
        <w:tblStyle w:val="3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62"/>
        <w:gridCol w:w="1945"/>
        <w:gridCol w:w="194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shd w:val="clear" w:color="auto" w:fill="A4A4A4"/>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序号</w:t>
            </w:r>
          </w:p>
        </w:tc>
        <w:tc>
          <w:tcPr>
            <w:tcW w:w="3062" w:type="dxa"/>
            <w:shd w:val="clear" w:color="auto" w:fill="A4A4A4"/>
            <w:vAlign w:val="center"/>
          </w:tcPr>
          <w:p>
            <w:pPr>
              <w:pStyle w:val="129"/>
              <w:jc w:val="center"/>
              <w:rPr>
                <w:rFonts w:ascii="宋体" w:hAnsi="宋体"/>
                <w:b/>
                <w:bCs/>
                <w:color w:val="auto"/>
                <w:sz w:val="24"/>
                <w:highlight w:val="none"/>
              </w:rPr>
            </w:pPr>
            <w:r>
              <w:rPr>
                <w:rFonts w:ascii="宋体" w:hAnsi="宋体"/>
                <w:b/>
                <w:bCs/>
                <w:color w:val="auto"/>
                <w:sz w:val="24"/>
                <w:highlight w:val="none"/>
              </w:rPr>
              <w:t>实质性响应条款要求</w:t>
            </w:r>
          </w:p>
        </w:tc>
        <w:tc>
          <w:tcPr>
            <w:tcW w:w="1945" w:type="dxa"/>
            <w:shd w:val="clear" w:color="auto" w:fill="A4A4A4"/>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是否响应</w:t>
            </w:r>
          </w:p>
        </w:tc>
        <w:tc>
          <w:tcPr>
            <w:tcW w:w="1945" w:type="dxa"/>
            <w:shd w:val="clear" w:color="auto" w:fill="A4A4A4"/>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资料所在页码</w:t>
            </w:r>
          </w:p>
        </w:tc>
        <w:tc>
          <w:tcPr>
            <w:tcW w:w="1945" w:type="dxa"/>
            <w:shd w:val="clear" w:color="auto" w:fill="A4A4A4"/>
            <w:vAlign w:val="center"/>
          </w:tcPr>
          <w:p>
            <w:pPr>
              <w:pStyle w:val="129"/>
              <w:jc w:val="center"/>
              <w:rPr>
                <w:rFonts w:ascii="宋体" w:hAns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olor w:val="auto"/>
                <w:sz w:val="24"/>
                <w:highlight w:val="none"/>
              </w:rPr>
            </w:pPr>
          </w:p>
        </w:tc>
        <w:tc>
          <w:tcPr>
            <w:tcW w:w="3062"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p>
        </w:tc>
        <w:tc>
          <w:tcPr>
            <w:tcW w:w="1945" w:type="dxa"/>
            <w:vAlign w:val="center"/>
          </w:tcPr>
          <w:p>
            <w:pPr>
              <w:pStyle w:val="129"/>
              <w:spacing w:line="480" w:lineRule="auto"/>
              <w:jc w:val="center"/>
              <w:rPr>
                <w:rFonts w:ascii="宋体" w:hAnsi="宋体"/>
                <w:color w:val="auto"/>
                <w:sz w:val="24"/>
                <w:highlight w:val="none"/>
              </w:rPr>
            </w:pPr>
            <w:r>
              <w:rPr>
                <w:rFonts w:hint="eastAsia" w:ascii="宋体" w:hAnsi="宋体"/>
                <w:color w:val="auto"/>
                <w:sz w:val="24"/>
                <w:highlight w:val="none"/>
              </w:rPr>
              <w:t>详见  页</w:t>
            </w:r>
          </w:p>
        </w:tc>
        <w:tc>
          <w:tcPr>
            <w:tcW w:w="1945" w:type="dxa"/>
            <w:vAlign w:val="center"/>
          </w:tcPr>
          <w:p>
            <w:pPr>
              <w:pStyle w:val="129"/>
              <w:spacing w:line="480" w:lineRule="auto"/>
              <w:jc w:val="center"/>
              <w:rPr>
                <w:rFonts w:ascii="宋体" w:hAnsi="宋体"/>
                <w:color w:val="auto"/>
                <w:sz w:val="24"/>
                <w:highlight w:val="none"/>
              </w:rPr>
            </w:pPr>
          </w:p>
        </w:tc>
      </w:tr>
    </w:tbl>
    <w:p>
      <w:pPr>
        <w:pStyle w:val="129"/>
        <w:rPr>
          <w:rFonts w:ascii="宋体" w:hAnsi="宋体"/>
          <w:color w:val="auto"/>
          <w:szCs w:val="21"/>
          <w:highlight w:val="none"/>
        </w:rPr>
      </w:pPr>
    </w:p>
    <w:p>
      <w:pPr>
        <w:pStyle w:val="103"/>
        <w:rPr>
          <w:color w:val="auto"/>
          <w:sz w:val="24"/>
          <w:szCs w:val="24"/>
          <w:highlight w:val="none"/>
        </w:rPr>
      </w:pPr>
      <w:r>
        <w:rPr>
          <w:color w:val="auto"/>
          <w:sz w:val="24"/>
          <w:szCs w:val="24"/>
          <w:highlight w:val="none"/>
        </w:rPr>
        <w:t>注：</w:t>
      </w:r>
    </w:p>
    <w:p>
      <w:pPr>
        <w:pStyle w:val="103"/>
        <w:rPr>
          <w:color w:val="auto"/>
          <w:sz w:val="24"/>
          <w:szCs w:val="24"/>
          <w:highlight w:val="none"/>
        </w:rPr>
      </w:pPr>
      <w:r>
        <w:rPr>
          <w:color w:val="auto"/>
          <w:sz w:val="24"/>
          <w:szCs w:val="24"/>
          <w:highlight w:val="none"/>
        </w:rPr>
        <w:t>1.对于上述要求，如</w:t>
      </w:r>
      <w:r>
        <w:rPr>
          <w:rFonts w:hint="eastAsia"/>
          <w:color w:val="auto"/>
          <w:sz w:val="24"/>
          <w:szCs w:val="24"/>
          <w:highlight w:val="none"/>
        </w:rPr>
        <w:t>供应商</w:t>
      </w:r>
      <w:r>
        <w:rPr>
          <w:color w:val="auto"/>
          <w:sz w:val="24"/>
          <w:szCs w:val="24"/>
          <w:highlight w:val="none"/>
        </w:rPr>
        <w:t>完全响应，则请在“是否响应”栏内打“√”，对空白或打“×”视为偏离，请在“偏离说明”栏内扼要说明偏离情况。</w:t>
      </w:r>
    </w:p>
    <w:p>
      <w:pPr>
        <w:pStyle w:val="103"/>
        <w:rPr>
          <w:color w:val="auto"/>
          <w:sz w:val="24"/>
          <w:szCs w:val="24"/>
          <w:highlight w:val="none"/>
        </w:rPr>
      </w:pPr>
      <w:r>
        <w:rPr>
          <w:color w:val="auto"/>
          <w:sz w:val="24"/>
          <w:szCs w:val="24"/>
          <w:highlight w:val="none"/>
        </w:rPr>
        <w:t>2.此表内容必须与</w:t>
      </w:r>
      <w:r>
        <w:rPr>
          <w:rFonts w:hint="eastAsia"/>
          <w:color w:val="auto"/>
          <w:sz w:val="24"/>
          <w:szCs w:val="24"/>
          <w:highlight w:val="none"/>
        </w:rPr>
        <w:t>采购项目技术要求</w:t>
      </w:r>
      <w:r>
        <w:rPr>
          <w:color w:val="auto"/>
          <w:sz w:val="24"/>
          <w:szCs w:val="24"/>
          <w:highlight w:val="none"/>
        </w:rPr>
        <w:t>的内容一致，打“★”项为不可负偏离(劣于)的重要项。</w:t>
      </w:r>
    </w:p>
    <w:p>
      <w:pPr>
        <w:pStyle w:val="103"/>
        <w:rPr>
          <w:color w:val="auto"/>
          <w:sz w:val="24"/>
          <w:szCs w:val="24"/>
          <w:highlight w:val="none"/>
        </w:rPr>
      </w:pPr>
      <w:r>
        <w:rPr>
          <w:color w:val="auto"/>
          <w:sz w:val="24"/>
          <w:szCs w:val="24"/>
          <w:highlight w:val="none"/>
        </w:rPr>
        <w:t>3.本表内容不得擅自修改。</w:t>
      </w:r>
    </w:p>
    <w:p>
      <w:pPr>
        <w:pStyle w:val="103"/>
        <w:rPr>
          <w:color w:val="auto"/>
          <w:sz w:val="24"/>
          <w:szCs w:val="24"/>
          <w:highlight w:val="none"/>
        </w:rPr>
      </w:pPr>
      <w:r>
        <w:rPr>
          <w:color w:val="auto"/>
          <w:sz w:val="24"/>
          <w:szCs w:val="24"/>
          <w:highlight w:val="none"/>
        </w:rPr>
        <w:t>4.当</w:t>
      </w:r>
      <w:r>
        <w:rPr>
          <w:rFonts w:hint="eastAsia"/>
          <w:color w:val="auto"/>
          <w:sz w:val="24"/>
          <w:szCs w:val="24"/>
          <w:highlight w:val="none"/>
        </w:rPr>
        <w:t>磋商</w:t>
      </w:r>
      <w:r>
        <w:rPr>
          <w:color w:val="auto"/>
          <w:sz w:val="24"/>
          <w:szCs w:val="24"/>
          <w:highlight w:val="none"/>
        </w:rPr>
        <w:t>文件中未设置“★”项条款时，应在此表中直接填写：本项目未设置“★”项条款。</w:t>
      </w:r>
    </w:p>
    <w:p>
      <w:pPr>
        <w:pStyle w:val="103"/>
        <w:rPr>
          <w:color w:val="auto"/>
          <w:sz w:val="21"/>
          <w:szCs w:val="21"/>
          <w:highlight w:val="none"/>
        </w:rPr>
      </w:pPr>
    </w:p>
    <w:p>
      <w:pPr>
        <w:pStyle w:val="103"/>
        <w:rPr>
          <w:color w:val="auto"/>
          <w:sz w:val="21"/>
          <w:szCs w:val="21"/>
          <w:highlight w:val="none"/>
        </w:rPr>
      </w:pPr>
    </w:p>
    <w:p>
      <w:pPr>
        <w:pStyle w:val="103"/>
        <w:rPr>
          <w:color w:val="auto"/>
          <w:sz w:val="21"/>
          <w:szCs w:val="21"/>
          <w:highlight w:val="none"/>
        </w:rPr>
      </w:pPr>
    </w:p>
    <w:p>
      <w:pPr>
        <w:pStyle w:val="129"/>
        <w:tabs>
          <w:tab w:val="left" w:pos="-3780"/>
        </w:tabs>
        <w:spacing w:line="360" w:lineRule="auto"/>
        <w:jc w:val="right"/>
        <w:rPr>
          <w:color w:val="auto"/>
          <w:sz w:val="24"/>
          <w:highlight w:val="none"/>
        </w:rPr>
      </w:pPr>
      <w:r>
        <w:rPr>
          <w:color w:val="auto"/>
          <w:sz w:val="24"/>
          <w:highlight w:val="none"/>
        </w:rPr>
        <w:t>供应商：</w:t>
      </w:r>
      <w:r>
        <w:rPr>
          <w:color w:val="auto"/>
          <w:sz w:val="24"/>
          <w:highlight w:val="none"/>
          <w:u w:val="single"/>
        </w:rPr>
        <w:t>（公司名称）</w:t>
      </w:r>
      <w:r>
        <w:rPr>
          <w:color w:val="auto"/>
          <w:sz w:val="24"/>
          <w:highlight w:val="none"/>
        </w:rPr>
        <w:t>（盖公章）</w:t>
      </w:r>
    </w:p>
    <w:p>
      <w:pPr>
        <w:pStyle w:val="129"/>
        <w:tabs>
          <w:tab w:val="left" w:pos="-3780"/>
        </w:tabs>
        <w:spacing w:line="360" w:lineRule="auto"/>
        <w:jc w:val="right"/>
        <w:rPr>
          <w:color w:val="auto"/>
          <w:sz w:val="24"/>
          <w:highlight w:val="none"/>
          <w:u w:val="single"/>
        </w:rPr>
      </w:pPr>
      <w:r>
        <w:rPr>
          <w:color w:val="auto"/>
          <w:sz w:val="24"/>
          <w:highlight w:val="none"/>
        </w:rPr>
        <w:t>法定代表人（或全权代表）：</w:t>
      </w:r>
      <w:r>
        <w:rPr>
          <w:color w:val="auto"/>
          <w:sz w:val="24"/>
          <w:highlight w:val="none"/>
          <w:u w:val="single"/>
        </w:rPr>
        <w:t>（签名或签章）</w:t>
      </w:r>
    </w:p>
    <w:p>
      <w:pPr>
        <w:pStyle w:val="129"/>
        <w:spacing w:line="360" w:lineRule="auto"/>
        <w:jc w:val="right"/>
        <w:rPr>
          <w:rFonts w:ascii="宋体" w:hAnsi="宋体"/>
          <w:color w:val="auto"/>
          <w:sz w:val="24"/>
          <w:highlight w:val="none"/>
        </w:rPr>
      </w:pPr>
      <w:r>
        <w:rPr>
          <w:rFonts w:hint="eastAsia" w:ascii="宋体" w:hAnsi="宋体"/>
          <w:color w:val="auto"/>
          <w:sz w:val="24"/>
          <w:highlight w:val="none"/>
        </w:rPr>
        <w:t>日期：年月日</w:t>
      </w:r>
    </w:p>
    <w:p>
      <w:pPr>
        <w:pStyle w:val="2"/>
        <w:rPr>
          <w:rFonts w:cs="宋体"/>
          <w:color w:val="auto"/>
          <w:sz w:val="24"/>
          <w:szCs w:val="24"/>
          <w:highlight w:val="none"/>
        </w:rPr>
      </w:pPr>
    </w:p>
    <w:p>
      <w:pPr>
        <w:spacing w:line="360" w:lineRule="auto"/>
        <w:rPr>
          <w:rFonts w:ascii="宋体" w:hAnsi="宋体" w:cs="宋体"/>
          <w:color w:val="auto"/>
          <w:sz w:val="28"/>
          <w:szCs w:val="28"/>
          <w:highlight w:val="none"/>
        </w:rPr>
      </w:pPr>
    </w:p>
    <w:p>
      <w:pPr>
        <w:pStyle w:val="129"/>
        <w:jc w:val="center"/>
        <w:rPr>
          <w:rFonts w:ascii="宋体" w:hAnsi="宋体" w:cs="宋体"/>
          <w:color w:val="auto"/>
          <w:highlight w:val="none"/>
        </w:rPr>
      </w:pPr>
      <w:r>
        <w:rPr>
          <w:rFonts w:hint="eastAsia"/>
          <w:color w:val="auto"/>
          <w:sz w:val="32"/>
          <w:szCs w:val="32"/>
          <w:highlight w:val="none"/>
        </w:rPr>
        <w:t>（“▲”项）响应表（如有）</w:t>
      </w:r>
    </w:p>
    <w:tbl>
      <w:tblPr>
        <w:tblStyle w:val="3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62"/>
        <w:gridCol w:w="1945"/>
        <w:gridCol w:w="194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shd w:val="clear" w:color="auto" w:fill="A4A4A4"/>
            <w:vAlign w:val="center"/>
          </w:tcPr>
          <w:p>
            <w:pPr>
              <w:pStyle w:val="129"/>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62" w:type="dxa"/>
            <w:shd w:val="clear" w:color="auto" w:fill="A4A4A4"/>
            <w:vAlign w:val="center"/>
          </w:tcPr>
          <w:p>
            <w:pPr>
              <w:pStyle w:val="129"/>
              <w:jc w:val="center"/>
              <w:rPr>
                <w:rFonts w:ascii="宋体" w:hAnsi="宋体" w:cs="宋体"/>
                <w:b/>
                <w:bCs/>
                <w:color w:val="auto"/>
                <w:sz w:val="24"/>
                <w:highlight w:val="none"/>
              </w:rPr>
            </w:pPr>
            <w:r>
              <w:rPr>
                <w:rFonts w:hint="eastAsia" w:ascii="宋体" w:hAnsi="宋体" w:cs="宋体"/>
                <w:b/>
                <w:bCs/>
                <w:color w:val="auto"/>
                <w:sz w:val="24"/>
                <w:highlight w:val="none"/>
              </w:rPr>
              <w:t>响应条款要求</w:t>
            </w:r>
          </w:p>
        </w:tc>
        <w:tc>
          <w:tcPr>
            <w:tcW w:w="1945" w:type="dxa"/>
            <w:shd w:val="clear" w:color="auto" w:fill="A4A4A4"/>
            <w:vAlign w:val="center"/>
          </w:tcPr>
          <w:p>
            <w:pPr>
              <w:pStyle w:val="129"/>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1945" w:type="dxa"/>
            <w:shd w:val="clear" w:color="auto" w:fill="A4A4A4"/>
            <w:vAlign w:val="center"/>
          </w:tcPr>
          <w:p>
            <w:pPr>
              <w:pStyle w:val="129"/>
              <w:jc w:val="center"/>
              <w:rPr>
                <w:rFonts w:ascii="宋体" w:hAnsi="宋体" w:cs="宋体"/>
                <w:b/>
                <w:bCs/>
                <w:color w:val="auto"/>
                <w:sz w:val="24"/>
                <w:highlight w:val="none"/>
              </w:rPr>
            </w:pPr>
            <w:r>
              <w:rPr>
                <w:rFonts w:hint="eastAsia" w:ascii="宋体" w:hAnsi="宋体" w:cs="宋体"/>
                <w:b/>
                <w:bCs/>
                <w:color w:val="auto"/>
                <w:sz w:val="24"/>
                <w:highlight w:val="none"/>
              </w:rPr>
              <w:t>资料所在页码</w:t>
            </w:r>
          </w:p>
        </w:tc>
        <w:tc>
          <w:tcPr>
            <w:tcW w:w="1945" w:type="dxa"/>
            <w:shd w:val="clear" w:color="auto" w:fill="A4A4A4"/>
            <w:vAlign w:val="center"/>
          </w:tcPr>
          <w:p>
            <w:pPr>
              <w:pStyle w:val="129"/>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129"/>
              <w:spacing w:line="480" w:lineRule="auto"/>
              <w:jc w:val="center"/>
              <w:rPr>
                <w:rFonts w:ascii="宋体" w:hAnsi="宋体" w:cs="宋体"/>
                <w:color w:val="auto"/>
                <w:sz w:val="24"/>
                <w:highlight w:val="none"/>
              </w:rPr>
            </w:pPr>
          </w:p>
        </w:tc>
        <w:tc>
          <w:tcPr>
            <w:tcW w:w="3062"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p>
        </w:tc>
        <w:tc>
          <w:tcPr>
            <w:tcW w:w="1945" w:type="dxa"/>
            <w:vAlign w:val="center"/>
          </w:tcPr>
          <w:p>
            <w:pPr>
              <w:pStyle w:val="129"/>
              <w:spacing w:line="480" w:lineRule="auto"/>
              <w:jc w:val="center"/>
              <w:rPr>
                <w:rFonts w:ascii="宋体" w:hAnsi="宋体" w:cs="宋体"/>
                <w:color w:val="auto"/>
                <w:sz w:val="24"/>
                <w:highlight w:val="none"/>
              </w:rPr>
            </w:pPr>
            <w:r>
              <w:rPr>
                <w:rFonts w:hint="eastAsia" w:ascii="宋体" w:hAnsi="宋体" w:cs="宋体"/>
                <w:color w:val="auto"/>
                <w:sz w:val="24"/>
                <w:highlight w:val="none"/>
              </w:rPr>
              <w:t>详见  页</w:t>
            </w:r>
          </w:p>
        </w:tc>
        <w:tc>
          <w:tcPr>
            <w:tcW w:w="1945" w:type="dxa"/>
            <w:vAlign w:val="center"/>
          </w:tcPr>
          <w:p>
            <w:pPr>
              <w:pStyle w:val="129"/>
              <w:spacing w:line="480" w:lineRule="auto"/>
              <w:jc w:val="center"/>
              <w:rPr>
                <w:rFonts w:ascii="宋体" w:hAnsi="宋体" w:cs="宋体"/>
                <w:color w:val="auto"/>
                <w:sz w:val="24"/>
                <w:highlight w:val="none"/>
              </w:rPr>
            </w:pPr>
          </w:p>
        </w:tc>
      </w:tr>
    </w:tbl>
    <w:p>
      <w:pPr>
        <w:pStyle w:val="129"/>
        <w:rPr>
          <w:rFonts w:ascii="宋体" w:hAnsi="宋体" w:cs="宋体"/>
          <w:color w:val="auto"/>
          <w:sz w:val="24"/>
          <w:highlight w:val="none"/>
        </w:rPr>
      </w:pPr>
    </w:p>
    <w:p>
      <w:pPr>
        <w:pStyle w:val="129"/>
        <w:spacing w:line="360" w:lineRule="auto"/>
        <w:rPr>
          <w:color w:val="auto"/>
          <w:sz w:val="24"/>
          <w:highlight w:val="none"/>
        </w:rPr>
      </w:pPr>
      <w:r>
        <w:rPr>
          <w:rFonts w:hint="eastAsia"/>
          <w:color w:val="auto"/>
          <w:sz w:val="24"/>
          <w:highlight w:val="none"/>
        </w:rPr>
        <w:t>注：</w:t>
      </w:r>
    </w:p>
    <w:p>
      <w:pPr>
        <w:pStyle w:val="129"/>
        <w:spacing w:line="360" w:lineRule="auto"/>
        <w:rPr>
          <w:color w:val="auto"/>
          <w:sz w:val="24"/>
          <w:highlight w:val="none"/>
        </w:rPr>
      </w:pPr>
      <w:r>
        <w:rPr>
          <w:rFonts w:hint="eastAsia"/>
          <w:color w:val="auto"/>
          <w:sz w:val="24"/>
          <w:highlight w:val="none"/>
        </w:rPr>
        <w:t>(1)本表对应内容为磋商文件中的“采购项目技术要求”的“▲”项内容；若没有“▲”项内容的则为“无”,供应商可按此内容直接填写；</w:t>
      </w:r>
    </w:p>
    <w:p>
      <w:pPr>
        <w:pStyle w:val="129"/>
        <w:spacing w:line="360" w:lineRule="auto"/>
        <w:rPr>
          <w:color w:val="auto"/>
          <w:sz w:val="24"/>
          <w:highlight w:val="none"/>
        </w:rPr>
      </w:pPr>
      <w:r>
        <w:rPr>
          <w:rFonts w:hint="eastAsia"/>
          <w:color w:val="auto"/>
          <w:sz w:val="24"/>
          <w:highlight w:val="none"/>
        </w:rPr>
        <w:t>(2)供应商须按磋商文件的“采购项目技术要求”的“▲”项的内容(如有)逐条响应，否则缺漏项视为无响应；其中“磋商文件要求”栏中填写磋商文件原文内容，“响应文件条款”栏中填写供应商响应内容，“偏离情况（正/无/负偏离）”栏中填写偏离情况（如：正偏离、无偏离、负偏离）；重要说明：“磋商文件要求”内容按磋商文件“采购项目技术要求”的“▲”出现的先后顺序汇总，如“磋商文件要求”内容与“采购项目技术要求”内容存在差异，以“采购项目技术要求”内容为准，供应商须重新核定并修正该部分内容，否则由此产生缺漏项的后果由供应商自行承担；</w:t>
      </w:r>
    </w:p>
    <w:p>
      <w:pPr>
        <w:pStyle w:val="129"/>
        <w:spacing w:line="360" w:lineRule="auto"/>
        <w:rPr>
          <w:color w:val="auto"/>
          <w:sz w:val="24"/>
          <w:highlight w:val="none"/>
        </w:rPr>
      </w:pPr>
      <w:r>
        <w:rPr>
          <w:rFonts w:hint="eastAsia"/>
          <w:color w:val="auto"/>
          <w:sz w:val="24"/>
          <w:highlight w:val="none"/>
        </w:rPr>
        <w:t>(3)本表中已填写的内容仅为参考，供应商可根据实际情况自行填写；</w:t>
      </w:r>
    </w:p>
    <w:p>
      <w:pPr>
        <w:pStyle w:val="129"/>
        <w:spacing w:line="360" w:lineRule="auto"/>
        <w:rPr>
          <w:color w:val="auto"/>
          <w:sz w:val="24"/>
          <w:highlight w:val="none"/>
        </w:rPr>
      </w:pPr>
      <w:r>
        <w:rPr>
          <w:rFonts w:hint="eastAsia"/>
          <w:color w:val="auto"/>
          <w:sz w:val="24"/>
          <w:highlight w:val="none"/>
        </w:rPr>
        <w:t>(4)本表可在原有基础上增项填写；</w:t>
      </w:r>
    </w:p>
    <w:p>
      <w:pPr>
        <w:pStyle w:val="129"/>
        <w:spacing w:line="360" w:lineRule="auto"/>
        <w:rPr>
          <w:rFonts w:ascii="宋体" w:hAnsi="宋体" w:cs="宋体"/>
          <w:color w:val="auto"/>
          <w:sz w:val="24"/>
          <w:highlight w:val="none"/>
        </w:rPr>
      </w:pPr>
      <w:r>
        <w:rPr>
          <w:rFonts w:hint="eastAsia"/>
          <w:color w:val="auto"/>
          <w:sz w:val="24"/>
          <w:highlight w:val="none"/>
        </w:rPr>
        <w:t>(5)编制响应文件时此注释文字可删除。</w:t>
      </w:r>
    </w:p>
    <w:p>
      <w:pPr>
        <w:pStyle w:val="129"/>
        <w:tabs>
          <w:tab w:val="left" w:pos="-3780"/>
        </w:tabs>
        <w:spacing w:line="360" w:lineRule="auto"/>
        <w:jc w:val="righ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（公司名称）          </w:t>
      </w:r>
      <w:r>
        <w:rPr>
          <w:rFonts w:hint="eastAsia" w:ascii="宋体" w:hAnsi="宋体" w:cs="宋体"/>
          <w:color w:val="auto"/>
          <w:sz w:val="24"/>
          <w:highlight w:val="none"/>
        </w:rPr>
        <w:t>（盖公章）</w:t>
      </w:r>
    </w:p>
    <w:p>
      <w:pPr>
        <w:pStyle w:val="129"/>
        <w:tabs>
          <w:tab w:val="left" w:pos="-3780"/>
        </w:tabs>
        <w:spacing w:line="360" w:lineRule="auto"/>
        <w:jc w:val="right"/>
        <w:rPr>
          <w:rFonts w:ascii="宋体" w:hAnsi="宋体" w:cs="宋体"/>
          <w:color w:val="auto"/>
          <w:sz w:val="24"/>
          <w:highlight w:val="none"/>
          <w:u w:val="single"/>
        </w:rPr>
      </w:pPr>
      <w:r>
        <w:rPr>
          <w:rFonts w:hint="eastAsia" w:ascii="宋体" w:hAnsi="宋体" w:cs="宋体"/>
          <w:color w:val="auto"/>
          <w:sz w:val="24"/>
          <w:highlight w:val="none"/>
        </w:rPr>
        <w:t>法定代表人（或全权代表）：</w:t>
      </w:r>
      <w:r>
        <w:rPr>
          <w:rFonts w:hint="eastAsia" w:ascii="宋体" w:hAnsi="宋体" w:cs="宋体"/>
          <w:color w:val="auto"/>
          <w:sz w:val="24"/>
          <w:highlight w:val="none"/>
          <w:u w:val="single"/>
        </w:rPr>
        <w:t xml:space="preserve">        （签字或签章）  </w:t>
      </w:r>
    </w:p>
    <w:p>
      <w:pPr>
        <w:pStyle w:val="129"/>
        <w:spacing w:line="360" w:lineRule="auto"/>
        <w:jc w:val="right"/>
        <w:rPr>
          <w:rFonts w:ascii="宋体" w:hAnsi="宋体" w:cs="宋体"/>
          <w:color w:val="auto"/>
          <w:sz w:val="24"/>
          <w:highlight w:val="none"/>
        </w:rPr>
      </w:pPr>
      <w:r>
        <w:rPr>
          <w:rFonts w:hint="eastAsia" w:ascii="宋体" w:hAnsi="宋体" w:cs="宋体"/>
          <w:color w:val="auto"/>
          <w:sz w:val="24"/>
          <w:highlight w:val="none"/>
        </w:rPr>
        <w:t>日期：年月日</w:t>
      </w:r>
    </w:p>
    <w:p>
      <w:pPr>
        <w:pStyle w:val="7"/>
        <w:spacing w:after="156" w:afterLines="50"/>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5.2 实施方案</w:t>
      </w:r>
    </w:p>
    <w:p>
      <w:pPr>
        <w:tabs>
          <w:tab w:val="left" w:pos="540"/>
        </w:tabs>
        <w:spacing w:line="360" w:lineRule="auto"/>
        <w:rPr>
          <w:rFonts w:ascii="宋体" w:hAnsi="宋体" w:cs="宋体"/>
          <w:b/>
          <w:color w:val="auto"/>
          <w:szCs w:val="24"/>
          <w:highlight w:val="none"/>
          <w:lang w:val="en-GB"/>
        </w:rPr>
      </w:pPr>
    </w:p>
    <w:p>
      <w:pPr>
        <w:tabs>
          <w:tab w:val="left" w:pos="540"/>
        </w:tabs>
        <w:spacing w:line="360" w:lineRule="auto"/>
        <w:rPr>
          <w:rFonts w:ascii="宋体" w:hAnsi="宋体" w:cs="宋体"/>
          <w:b/>
          <w:color w:val="auto"/>
          <w:szCs w:val="24"/>
          <w:highlight w:val="none"/>
          <w:lang w:val="en-GB"/>
        </w:rPr>
      </w:pPr>
      <w:r>
        <w:rPr>
          <w:rFonts w:hint="eastAsia" w:ascii="宋体" w:hAnsi="宋体" w:cs="宋体"/>
          <w:b/>
          <w:color w:val="auto"/>
          <w:szCs w:val="24"/>
          <w:highlight w:val="none"/>
          <w:lang w:val="en-GB"/>
        </w:rPr>
        <w:t>注：</w:t>
      </w:r>
    </w:p>
    <w:p>
      <w:pPr>
        <w:tabs>
          <w:tab w:val="left" w:pos="540"/>
        </w:tabs>
        <w:spacing w:line="360" w:lineRule="auto"/>
        <w:ind w:left="48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1.  请各供应商针对本项目的评审方法、评审子项或评分内容内容进行详细描述说明，自行编写。</w:t>
      </w:r>
    </w:p>
    <w:p>
      <w:pPr>
        <w:tabs>
          <w:tab w:val="left" w:pos="540"/>
        </w:tabs>
        <w:spacing w:line="360" w:lineRule="auto"/>
        <w:ind w:left="480" w:hanging="480" w:hangingChars="200"/>
        <w:rPr>
          <w:rFonts w:ascii="宋体" w:hAnsi="宋体" w:cs="宋体"/>
          <w:color w:val="auto"/>
          <w:szCs w:val="24"/>
          <w:highlight w:val="none"/>
          <w:lang w:val="en-GB"/>
        </w:rPr>
      </w:pPr>
      <w:r>
        <w:rPr>
          <w:rFonts w:hint="eastAsia" w:ascii="宋体" w:hAnsi="宋体" w:cs="宋体"/>
          <w:color w:val="auto"/>
          <w:szCs w:val="24"/>
          <w:highlight w:val="none"/>
          <w:lang w:val="en-GB"/>
        </w:rPr>
        <w:t>2.  实施方案设计须以符合国家、行业政策法规和社会公众利益为前提，充分体现出自身的技术优势和特点，突出其扩展性、先进性、可靠性。</w:t>
      </w:r>
    </w:p>
    <w:p>
      <w:pPr>
        <w:spacing w:line="360" w:lineRule="auto"/>
        <w:rPr>
          <w:rFonts w:ascii="宋体" w:hAnsi="宋体" w:cs="宋体"/>
          <w:color w:val="auto"/>
          <w:szCs w:val="24"/>
          <w:highlight w:val="none"/>
        </w:rPr>
      </w:pPr>
      <w:r>
        <w:rPr>
          <w:rFonts w:hint="eastAsia" w:ascii="宋体" w:hAnsi="宋体" w:cs="宋体"/>
          <w:color w:val="auto"/>
          <w:szCs w:val="24"/>
          <w:highlight w:val="none"/>
        </w:rPr>
        <w:br w:type="page"/>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pStyle w:val="6"/>
        <w:spacing w:line="360" w:lineRule="auto"/>
        <w:jc w:val="center"/>
        <w:rPr>
          <w:rFonts w:ascii="宋体" w:hAnsi="宋体" w:cs="宋体"/>
          <w:color w:val="auto"/>
          <w:sz w:val="40"/>
          <w:szCs w:val="40"/>
          <w:highlight w:val="none"/>
        </w:rPr>
      </w:pPr>
      <w:bookmarkStart w:id="134" w:name="_Toc9367"/>
      <w:r>
        <w:rPr>
          <w:rFonts w:hint="eastAsia" w:ascii="宋体" w:hAnsi="宋体" w:cs="宋体"/>
          <w:color w:val="auto"/>
          <w:sz w:val="40"/>
          <w:szCs w:val="40"/>
          <w:highlight w:val="none"/>
        </w:rPr>
        <w:t>其 他 格 式</w:t>
      </w:r>
      <w:bookmarkEnd w:id="134"/>
    </w:p>
    <w:p>
      <w:pPr>
        <w:spacing w:line="360" w:lineRule="auto"/>
        <w:jc w:val="center"/>
        <w:outlineLvl w:val="0"/>
        <w:rPr>
          <w:rFonts w:ascii="宋体" w:hAnsi="宋体" w:cs="宋体"/>
          <w:b/>
          <w:color w:val="auto"/>
          <w:sz w:val="40"/>
          <w:szCs w:val="40"/>
          <w:highlight w:val="none"/>
        </w:rPr>
      </w:pPr>
      <w:bookmarkStart w:id="135" w:name="_Toc27760"/>
      <w:bookmarkStart w:id="136" w:name="_Toc11846"/>
      <w:r>
        <w:rPr>
          <w:rFonts w:hint="eastAsia" w:ascii="宋体" w:hAnsi="宋体" w:cs="宋体"/>
          <w:b/>
          <w:color w:val="auto"/>
          <w:sz w:val="40"/>
          <w:szCs w:val="40"/>
          <w:highlight w:val="none"/>
        </w:rPr>
        <w:t>（注：本部分内容勿装订在响应文件内）</w:t>
      </w:r>
      <w:bookmarkEnd w:id="135"/>
      <w:bookmarkEnd w:id="136"/>
    </w:p>
    <w:p>
      <w:pPr>
        <w:spacing w:line="360" w:lineRule="auto"/>
        <w:rPr>
          <w:rFonts w:ascii="宋体" w:hAnsi="宋体" w:cs="宋体"/>
          <w:b/>
          <w:color w:val="auto"/>
          <w:szCs w:val="24"/>
          <w:highlight w:val="none"/>
        </w:rPr>
      </w:pPr>
    </w:p>
    <w:p>
      <w:pPr>
        <w:spacing w:line="360" w:lineRule="auto"/>
        <w:rPr>
          <w:rFonts w:hint="eastAsia" w:ascii="宋体" w:hAnsi="宋体" w:cs="宋体"/>
          <w:color w:val="auto"/>
          <w:kern w:val="1"/>
          <w:szCs w:val="24"/>
          <w:highlight w:val="none"/>
        </w:rPr>
      </w:pPr>
      <w:r>
        <w:rPr>
          <w:rFonts w:hint="eastAsia" w:ascii="宋体" w:hAnsi="宋体" w:cs="宋体"/>
          <w:b/>
          <w:color w:val="auto"/>
          <w:szCs w:val="24"/>
          <w:highlight w:val="none"/>
        </w:rPr>
        <w:br w:type="page"/>
      </w:r>
      <w:bookmarkStart w:id="137" w:name="_Toc25474"/>
      <w:bookmarkStart w:id="138" w:name="_Toc467076465"/>
      <w:bookmarkStart w:id="139" w:name="_Toc467076369"/>
      <w:bookmarkStart w:id="140" w:name="_Toc11038"/>
      <w:bookmarkStart w:id="141" w:name="_Toc453080320"/>
      <w:r>
        <w:rPr>
          <w:rFonts w:hint="eastAsia" w:ascii="宋体" w:hAnsi="宋体" w:cs="宋体"/>
          <w:color w:val="auto"/>
          <w:kern w:val="1"/>
          <w:szCs w:val="24"/>
          <w:highlight w:val="none"/>
        </w:rPr>
        <w:t>附件一：</w:t>
      </w: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政府采购供应商资格信用承诺函</w:t>
      </w:r>
    </w:p>
    <w:p>
      <w:pPr>
        <w:rPr>
          <w:rFonts w:hint="eastAsia" w:ascii="仿宋_GB2312" w:hAnsi="仿宋_GB2312" w:eastAsia="仿宋_GB2312" w:cs="仿宋_GB2312"/>
          <w:color w:val="auto"/>
          <w:sz w:val="32"/>
          <w:szCs w:val="32"/>
          <w:highlight w:val="none"/>
          <w:lang w:eastAsia="zh-CN"/>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致：（采购人、采购代理机构）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我方参与</w:t>
      </w:r>
      <w:r>
        <w:rPr>
          <w:rFonts w:hint="eastAsia" w:ascii="宋体" w:hAnsi="宋体" w:eastAsia="宋体" w:cs="宋体"/>
          <w:color w:val="auto"/>
          <w:sz w:val="24"/>
          <w:szCs w:val="24"/>
          <w:highlight w:val="none"/>
          <w:u w:val="single"/>
          <w:lang w:eastAsia="zh-CN"/>
        </w:rPr>
        <w:t>（项目名称）（项目编号：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的政府采购活动，现承诺如下：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我方具有符合《中华人民共和国政府采购法》《中华人民共和国政府采购法实施条例》及</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w:t>
      </w:r>
      <w:r>
        <w:rPr>
          <w:rFonts w:hint="eastAsia" w:ascii="宋体" w:hAnsi="宋体" w:eastAsia="宋体" w:cs="宋体"/>
          <w:color w:val="auto"/>
          <w:sz w:val="24"/>
          <w:szCs w:val="24"/>
          <w:highlight w:val="none"/>
          <w:lang w:eastAsia="zh-CN"/>
        </w:rPr>
        <w:t>资格要求规定良好的商业信誉和健全的财务会计制度；依法缴纳税收和社会保障资金；参加本项目政府采购活动前三年内，在经营活动中没有重大违法记录。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若我方以上承诺不实，自愿承担提供虚假材料谋取中标、成交的法律责任。</w:t>
      </w:r>
    </w:p>
    <w:p>
      <w:pPr>
        <w:spacing w:line="360" w:lineRule="auto"/>
        <w:ind w:firstLine="480" w:firstLineChars="200"/>
        <w:rPr>
          <w:rFonts w:hint="eastAsia" w:ascii="宋体" w:hAnsi="宋体" w:eastAsia="宋体" w:cs="宋体"/>
          <w:color w:val="auto"/>
          <w:sz w:val="24"/>
          <w:szCs w:val="24"/>
          <w:highlight w:val="none"/>
          <w:lang w:eastAsia="zh-CN"/>
        </w:rPr>
      </w:pPr>
    </w:p>
    <w:p>
      <w:pPr>
        <w:spacing w:line="360" w:lineRule="auto"/>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承诺供应商（全称并加盖公章）：</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val="en-US" w:eastAsia="zh-CN"/>
        </w:rPr>
        <w:t xml:space="preserve">                                      </w:t>
      </w:r>
    </w:p>
    <w:p>
      <w:pPr>
        <w:spacing w:line="360" w:lineRule="auto"/>
        <w:rPr>
          <w:rFonts w:hint="eastAsia" w:ascii="宋体" w:hAnsi="宋体" w:eastAsia="宋体" w:cs="宋体"/>
          <w:color w:val="auto"/>
          <w:sz w:val="24"/>
          <w:szCs w:val="24"/>
          <w:highlight w:val="none"/>
          <w:u w:val="none"/>
          <w:lang w:val="en-US" w:eastAsia="zh-CN"/>
        </w:rPr>
      </w:pP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u w:val="none"/>
          <w:lang w:val="en-US" w:eastAsia="zh-CN"/>
        </w:rPr>
        <w:t>说明：供应商可自行选择是否提供本承诺函，若不提供本承诺函，应按</w:t>
      </w:r>
      <w:r>
        <w:rPr>
          <w:rFonts w:hint="eastAsia" w:ascii="宋体" w:hAnsi="宋体" w:eastAsia="宋体" w:cs="宋体"/>
          <w:color w:val="auto"/>
          <w:sz w:val="24"/>
          <w:szCs w:val="24"/>
          <w:highlight w:val="none"/>
          <w:lang w:eastAsia="zh-CN"/>
        </w:rPr>
        <w:t>《中华人民共和国政府采购法》《中华人民共和国政府采购法实施条例》及</w:t>
      </w:r>
      <w:r>
        <w:rPr>
          <w:rFonts w:hint="eastAsia" w:ascii="宋体" w:hAnsi="宋体" w:cs="宋体"/>
          <w:color w:val="auto"/>
          <w:szCs w:val="24"/>
          <w:highlight w:val="none"/>
          <w:lang w:val="en-US" w:eastAsia="zh-CN"/>
        </w:rPr>
        <w:t>竞争性磋商</w:t>
      </w:r>
      <w:r>
        <w:rPr>
          <w:rFonts w:hint="eastAsia" w:ascii="宋体" w:hAnsi="宋体" w:cs="宋体"/>
          <w:color w:val="auto"/>
          <w:szCs w:val="24"/>
          <w:highlight w:val="none"/>
        </w:rPr>
        <w:t>文件</w:t>
      </w:r>
      <w:r>
        <w:rPr>
          <w:rFonts w:hint="eastAsia" w:ascii="宋体" w:hAnsi="宋体" w:eastAsia="宋体" w:cs="宋体"/>
          <w:color w:val="auto"/>
          <w:sz w:val="24"/>
          <w:szCs w:val="24"/>
          <w:highlight w:val="none"/>
          <w:lang w:eastAsia="zh-CN"/>
        </w:rPr>
        <w:t>资格要求提供相应的证明材料。</w:t>
      </w:r>
    </w:p>
    <w:p>
      <w:pPr>
        <w:spacing w:line="360" w:lineRule="auto"/>
        <w:rPr>
          <w:rFonts w:hint="eastAsia" w:ascii="宋体" w:hAnsi="宋体" w:cs="宋体"/>
          <w:color w:val="auto"/>
          <w:kern w:val="1"/>
          <w:szCs w:val="24"/>
          <w:highlight w:val="none"/>
          <w:lang w:val="en-US" w:eastAsia="zh-CN"/>
        </w:rPr>
      </w:pPr>
      <w:r>
        <w:rPr>
          <w:rFonts w:hint="eastAsia" w:ascii="宋体" w:hAnsi="宋体" w:cs="宋体"/>
          <w:color w:val="auto"/>
          <w:kern w:val="1"/>
          <w:szCs w:val="24"/>
          <w:highlight w:val="none"/>
          <w:lang w:val="en-US" w:eastAsia="zh-CN"/>
        </w:rPr>
        <w:br w:type="page"/>
      </w:r>
    </w:p>
    <w:p>
      <w:pPr>
        <w:spacing w:line="360" w:lineRule="auto"/>
        <w:rPr>
          <w:rFonts w:ascii="宋体" w:hAnsi="宋体" w:cs="宋体"/>
          <w:color w:val="auto"/>
          <w:kern w:val="1"/>
          <w:szCs w:val="24"/>
          <w:highlight w:val="none"/>
        </w:rPr>
      </w:pPr>
      <w:r>
        <w:rPr>
          <w:rFonts w:hint="eastAsia" w:ascii="宋体" w:hAnsi="宋体" w:cs="宋体"/>
          <w:color w:val="auto"/>
          <w:kern w:val="1"/>
          <w:szCs w:val="24"/>
          <w:highlight w:val="none"/>
          <w:lang w:val="en-US" w:eastAsia="zh-CN"/>
        </w:rPr>
        <w:t>附件二：</w:t>
      </w:r>
      <w:r>
        <w:rPr>
          <w:rFonts w:hint="eastAsia" w:ascii="宋体" w:hAnsi="宋体" w:cs="宋体"/>
          <w:color w:val="auto"/>
          <w:kern w:val="1"/>
          <w:szCs w:val="24"/>
          <w:highlight w:val="none"/>
        </w:rPr>
        <w:t>文件包装袋封面标贴格式</w:t>
      </w:r>
      <w:bookmarkEnd w:id="137"/>
      <w:bookmarkEnd w:id="138"/>
      <w:bookmarkEnd w:id="139"/>
      <w:bookmarkEnd w:id="140"/>
      <w:bookmarkEnd w:id="141"/>
    </w:p>
    <w:tbl>
      <w:tblPr>
        <w:tblStyle w:val="31"/>
        <w:tblW w:w="9340" w:type="dxa"/>
        <w:tblInd w:w="108" w:type="dxa"/>
        <w:tblLayout w:type="fixed"/>
        <w:tblCellMar>
          <w:top w:w="0" w:type="dxa"/>
          <w:left w:w="108" w:type="dxa"/>
          <w:bottom w:w="0" w:type="dxa"/>
          <w:right w:w="108" w:type="dxa"/>
        </w:tblCellMar>
      </w:tblPr>
      <w:tblGrid>
        <w:gridCol w:w="9340"/>
      </w:tblGrid>
      <w:tr>
        <w:tblPrEx>
          <w:tblCellMar>
            <w:top w:w="0" w:type="dxa"/>
            <w:left w:w="108" w:type="dxa"/>
            <w:bottom w:w="0" w:type="dxa"/>
            <w:right w:w="108" w:type="dxa"/>
          </w:tblCellMar>
        </w:tblPrEx>
        <w:trPr>
          <w:trHeight w:val="8253" w:hRule="atLeast"/>
        </w:trPr>
        <w:tc>
          <w:tcPr>
            <w:tcW w:w="9340" w:type="dxa"/>
            <w:tcBorders>
              <w:top w:val="double" w:color="666699" w:sz="4" w:space="0"/>
              <w:left w:val="double" w:color="666699" w:sz="4" w:space="0"/>
              <w:bottom w:val="double" w:color="666699" w:sz="4" w:space="0"/>
              <w:right w:val="double" w:color="666699" w:sz="4" w:space="0"/>
            </w:tcBorders>
            <w:shd w:val="clear" w:color="auto" w:fill="FCFEEA"/>
          </w:tcPr>
          <w:p>
            <w:pPr>
              <w:pStyle w:val="5"/>
              <w:spacing w:after="156" w:line="360" w:lineRule="auto"/>
              <w:jc w:val="center"/>
              <w:rPr>
                <w:rFonts w:ascii="宋体" w:hAnsi="宋体" w:cs="宋体"/>
                <w:b/>
                <w:color w:val="auto"/>
                <w:sz w:val="24"/>
                <w:szCs w:val="24"/>
                <w:highlight w:val="none"/>
              </w:rPr>
            </w:pPr>
          </w:p>
          <w:p>
            <w:pPr>
              <w:pStyle w:val="5"/>
              <w:spacing w:after="156"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lang w:eastAsia="zh-CN"/>
              </w:rPr>
              <w:t>佛山市公安局禅城分局</w:t>
            </w:r>
            <w:r>
              <w:rPr>
                <w:rFonts w:hint="eastAsia" w:ascii="宋体" w:hAnsi="宋体" w:cs="宋体"/>
                <w:b/>
                <w:color w:val="auto"/>
                <w:sz w:val="52"/>
                <w:szCs w:val="52"/>
                <w:highlight w:val="none"/>
              </w:rPr>
              <w:t>政府采购项目</w:t>
            </w:r>
          </w:p>
          <w:p>
            <w:pPr>
              <w:pStyle w:val="5"/>
              <w:spacing w:after="156" w:line="360" w:lineRule="auto"/>
              <w:jc w:val="center"/>
              <w:rPr>
                <w:rFonts w:ascii="宋体" w:hAnsi="宋体" w:cs="宋体"/>
                <w:b/>
                <w:color w:val="auto"/>
                <w:kern w:val="1"/>
                <w:sz w:val="24"/>
                <w:szCs w:val="24"/>
                <w:highlight w:val="none"/>
                <w:lang w:val="en-GB"/>
              </w:rPr>
            </w:pPr>
            <w:r>
              <w:rPr>
                <w:rFonts w:hint="eastAsia" w:ascii="宋体" w:hAnsi="宋体" w:cs="宋体"/>
                <w:b/>
                <w:color w:val="auto"/>
                <w:sz w:val="52"/>
                <w:szCs w:val="52"/>
                <w:highlight w:val="none"/>
              </w:rPr>
              <w:t>响 应 文 件</w:t>
            </w:r>
          </w:p>
          <w:p>
            <w:pPr>
              <w:spacing w:line="360" w:lineRule="auto"/>
              <w:jc w:val="center"/>
              <w:rPr>
                <w:rFonts w:ascii="宋体" w:hAnsi="宋体" w:cs="宋体"/>
                <w:b/>
                <w:color w:val="auto"/>
                <w:kern w:val="1"/>
                <w:szCs w:val="24"/>
                <w:highlight w:val="none"/>
              </w:rPr>
            </w:pPr>
            <w:r>
              <w:rPr>
                <w:rFonts w:hint="eastAsia" w:ascii="宋体" w:hAnsi="宋体" w:cs="宋体"/>
                <w:b/>
                <w:color w:val="auto"/>
                <w:kern w:val="1"/>
                <w:szCs w:val="24"/>
                <w:highlight w:val="none"/>
                <w:lang w:val="en-GB"/>
              </w:rPr>
              <w:t>密封</w:t>
            </w:r>
            <w:bookmarkStart w:id="142" w:name="_保证金退付书"/>
            <w:bookmarkEnd w:id="142"/>
            <w:bookmarkStart w:id="143" w:name="_Toc335295542"/>
            <w:bookmarkEnd w:id="143"/>
            <w:bookmarkStart w:id="144" w:name="_Toc49329276"/>
            <w:bookmarkEnd w:id="144"/>
            <w:bookmarkStart w:id="145" w:name="_Toc38337722"/>
            <w:bookmarkEnd w:id="145"/>
            <w:r>
              <w:rPr>
                <w:rFonts w:hint="eastAsia" w:ascii="宋体" w:hAnsi="宋体" w:cs="宋体"/>
                <w:b/>
                <w:color w:val="auto"/>
                <w:kern w:val="1"/>
                <w:szCs w:val="24"/>
                <w:highlight w:val="none"/>
                <w:lang w:val="en-GB"/>
              </w:rPr>
              <w:t>内容：</w:t>
            </w:r>
            <w:r>
              <w:rPr>
                <w:rFonts w:hint="eastAsia" w:ascii="宋体" w:hAnsi="宋体" w:cs="宋体"/>
                <w:b/>
                <w:color w:val="auto"/>
                <w:kern w:val="1"/>
                <w:szCs w:val="24"/>
                <w:highlight w:val="none"/>
              </w:rPr>
              <w:t xml:space="preserve">□ </w:t>
            </w:r>
            <w:r>
              <w:rPr>
                <w:rFonts w:hint="eastAsia" w:ascii="宋体" w:hAnsi="宋体" w:cs="宋体"/>
                <w:b/>
                <w:color w:val="auto"/>
                <w:kern w:val="1"/>
                <w:szCs w:val="24"/>
                <w:highlight w:val="none"/>
                <w:lang w:val="en-GB"/>
              </w:rPr>
              <w:t xml:space="preserve">报价信封 / </w:t>
            </w:r>
            <w:r>
              <w:rPr>
                <w:rFonts w:hint="eastAsia" w:ascii="宋体" w:hAnsi="宋体" w:cs="宋体"/>
                <w:b/>
                <w:color w:val="auto"/>
                <w:kern w:val="1"/>
                <w:szCs w:val="24"/>
                <w:highlight w:val="none"/>
              </w:rPr>
              <w:t>□</w:t>
            </w:r>
            <w:bookmarkStart w:id="146" w:name="_Toc108234932"/>
            <w:bookmarkEnd w:id="146"/>
            <w:r>
              <w:rPr>
                <w:rFonts w:hint="eastAsia" w:ascii="宋体" w:hAnsi="宋体" w:cs="宋体"/>
                <w:b/>
                <w:color w:val="auto"/>
                <w:kern w:val="1"/>
                <w:szCs w:val="24"/>
                <w:highlight w:val="none"/>
              </w:rPr>
              <w:t xml:space="preserve"> 正本磋商响应文件 </w:t>
            </w:r>
            <w:r>
              <w:rPr>
                <w:rFonts w:hint="eastAsia" w:ascii="宋体" w:hAnsi="宋体" w:cs="宋体"/>
                <w:b/>
                <w:color w:val="auto"/>
                <w:kern w:val="1"/>
                <w:szCs w:val="24"/>
                <w:highlight w:val="none"/>
                <w:lang w:val="en-GB"/>
              </w:rPr>
              <w:t xml:space="preserve">/ </w:t>
            </w:r>
            <w:r>
              <w:rPr>
                <w:rFonts w:hint="eastAsia" w:ascii="宋体" w:hAnsi="宋体" w:cs="宋体"/>
                <w:b/>
                <w:color w:val="auto"/>
                <w:kern w:val="1"/>
                <w:szCs w:val="24"/>
                <w:highlight w:val="none"/>
              </w:rPr>
              <w:t>□ 副本磋商响应文件</w:t>
            </w:r>
          </w:p>
          <w:p>
            <w:pPr>
              <w:spacing w:after="156" w:line="360" w:lineRule="auto"/>
              <w:jc w:val="center"/>
              <w:rPr>
                <w:rFonts w:ascii="宋体" w:hAnsi="宋体" w:cs="宋体"/>
                <w:b/>
                <w:color w:val="auto"/>
                <w:kern w:val="1"/>
                <w:szCs w:val="24"/>
                <w:highlight w:val="none"/>
              </w:rPr>
            </w:pPr>
            <w:r>
              <w:rPr>
                <w:rFonts w:hint="eastAsia" w:ascii="宋体" w:hAnsi="宋体" w:cs="宋体"/>
                <w:color w:val="auto"/>
                <w:kern w:val="1"/>
                <w:szCs w:val="24"/>
                <w:highlight w:val="none"/>
              </w:rPr>
              <w:t>请磋商单位根据递交文件的内容，相应在上“□”处中打“√”</w:t>
            </w:r>
          </w:p>
          <w:p>
            <w:pPr>
              <w:spacing w:line="360" w:lineRule="auto"/>
              <w:ind w:firstLine="1928" w:firstLineChars="800"/>
              <w:rPr>
                <w:rFonts w:hint="default" w:ascii="宋体" w:hAnsi="宋体" w:eastAsia="宋体" w:cs="宋体"/>
                <w:color w:val="auto"/>
                <w:kern w:val="1"/>
                <w:szCs w:val="24"/>
                <w:highlight w:val="none"/>
                <w:u w:val="single"/>
                <w:lang w:val="en-US" w:eastAsia="zh-CN"/>
              </w:rPr>
            </w:pPr>
            <w:r>
              <w:rPr>
                <w:rFonts w:hint="eastAsia" w:ascii="宋体" w:hAnsi="宋体" w:cs="宋体"/>
                <w:b/>
                <w:color w:val="auto"/>
                <w:kern w:val="1"/>
                <w:szCs w:val="24"/>
                <w:highlight w:val="none"/>
              </w:rPr>
              <w:t>供 应 商：</w:t>
            </w:r>
            <w:r>
              <w:rPr>
                <w:rFonts w:hint="eastAsia" w:ascii="宋体" w:hAnsi="宋体" w:cs="宋体"/>
                <w:b/>
                <w:color w:val="auto"/>
                <w:kern w:val="1"/>
                <w:szCs w:val="24"/>
                <w:highlight w:val="none"/>
                <w:u w:val="single"/>
                <w:lang w:val="en-US" w:eastAsia="zh-CN"/>
              </w:rPr>
              <w:t xml:space="preserve">                    </w:t>
            </w:r>
            <w:r>
              <w:rPr>
                <w:rFonts w:hint="eastAsia" w:ascii="宋体" w:hAnsi="宋体" w:cs="宋体"/>
                <w:b/>
                <w:color w:val="auto"/>
                <w:kern w:val="1"/>
                <w:szCs w:val="24"/>
                <w:highlight w:val="none"/>
              </w:rPr>
              <w:t>（盖章）</w:t>
            </w:r>
          </w:p>
          <w:p>
            <w:pPr>
              <w:spacing w:line="360" w:lineRule="auto"/>
              <w:ind w:firstLine="2891" w:firstLineChars="1200"/>
              <w:rPr>
                <w:rFonts w:hint="eastAsia" w:ascii="宋体" w:hAnsi="宋体" w:eastAsia="宋体" w:cs="宋体"/>
                <w:b/>
                <w:color w:val="auto"/>
                <w:kern w:val="1"/>
                <w:szCs w:val="24"/>
                <w:highlight w:val="none"/>
                <w:lang w:eastAsia="zh-CN"/>
              </w:rPr>
            </w:pPr>
            <w:r>
              <w:rPr>
                <w:rFonts w:hint="eastAsia" w:ascii="宋体" w:hAnsi="宋体" w:cs="宋体"/>
                <w:b/>
                <w:color w:val="auto"/>
                <w:kern w:val="1"/>
                <w:szCs w:val="24"/>
                <w:highlight w:val="none"/>
              </w:rPr>
              <w:t>采购项目编号：</w:t>
            </w:r>
            <w:r>
              <w:rPr>
                <w:rFonts w:hint="eastAsia" w:ascii="宋体" w:hAnsi="宋体" w:cs="宋体"/>
                <w:b/>
                <w:color w:val="auto"/>
                <w:kern w:val="1"/>
                <w:szCs w:val="24"/>
                <w:highlight w:val="none"/>
                <w:u w:val="single"/>
                <w:lang w:eastAsia="zh-CN"/>
              </w:rPr>
              <w:t>HRC23FSCS1001</w:t>
            </w:r>
          </w:p>
          <w:p>
            <w:pPr>
              <w:spacing w:line="360" w:lineRule="auto"/>
              <w:jc w:val="center"/>
              <w:rPr>
                <w:rFonts w:ascii="宋体" w:hAnsi="宋体" w:cs="宋体"/>
                <w:b/>
                <w:color w:val="auto"/>
                <w:kern w:val="1"/>
                <w:szCs w:val="24"/>
                <w:highlight w:val="none"/>
              </w:rPr>
            </w:pPr>
            <w:r>
              <w:rPr>
                <w:rFonts w:hint="eastAsia" w:ascii="宋体" w:hAnsi="宋体" w:cs="宋体"/>
                <w:b/>
                <w:color w:val="auto"/>
                <w:kern w:val="1"/>
                <w:szCs w:val="24"/>
                <w:highlight w:val="none"/>
              </w:rPr>
              <w:t>采购项目名称：</w:t>
            </w:r>
            <w:r>
              <w:rPr>
                <w:rFonts w:hint="eastAsia" w:ascii="宋体" w:hAnsi="宋体" w:cs="宋体"/>
                <w:b/>
                <w:color w:val="auto"/>
                <w:kern w:val="1"/>
                <w:szCs w:val="24"/>
                <w:highlight w:val="none"/>
                <w:u w:val="single"/>
                <w:lang w:eastAsia="zh-CN"/>
              </w:rPr>
              <w:t>佛山市公安局禅城分局2024年度车辆保险项目</w:t>
            </w:r>
            <w:r>
              <w:rPr>
                <w:rFonts w:hint="eastAsia" w:ascii="宋体" w:hAnsi="宋体" w:cs="宋体"/>
                <w:b/>
                <w:color w:val="auto"/>
                <w:kern w:val="1"/>
                <w:szCs w:val="24"/>
                <w:highlight w:val="none"/>
              </w:rPr>
              <w:t>在</w:t>
            </w:r>
            <w:r>
              <w:rPr>
                <w:rFonts w:hint="eastAsia" w:ascii="宋体" w:hAnsi="宋体" w:cs="宋体"/>
                <w:b/>
                <w:color w:val="auto"/>
                <w:kern w:val="1"/>
                <w:szCs w:val="24"/>
                <w:highlight w:val="none"/>
                <w:u w:val="single"/>
                <w:lang w:eastAsia="zh-CN"/>
              </w:rPr>
              <w:t>2023年</w:t>
            </w:r>
            <w:r>
              <w:rPr>
                <w:rFonts w:hint="eastAsia" w:ascii="宋体" w:hAnsi="宋体" w:cs="宋体"/>
                <w:b/>
                <w:color w:val="auto"/>
                <w:kern w:val="1"/>
                <w:szCs w:val="24"/>
                <w:highlight w:val="none"/>
                <w:u w:val="single"/>
              </w:rPr>
              <w:t xml:space="preserve">  月  日  午  ：  </w:t>
            </w:r>
            <w:r>
              <w:rPr>
                <w:rFonts w:hint="eastAsia" w:ascii="宋体" w:hAnsi="宋体" w:cs="宋体"/>
                <w:b/>
                <w:color w:val="auto"/>
                <w:kern w:val="1"/>
                <w:szCs w:val="24"/>
                <w:highlight w:val="none"/>
              </w:rPr>
              <w:t>之前不得启封</w:t>
            </w:r>
          </w:p>
          <w:p>
            <w:pPr>
              <w:spacing w:line="360" w:lineRule="auto"/>
              <w:ind w:firstLine="241" w:firstLineChars="100"/>
              <w:rPr>
                <w:rFonts w:hint="eastAsia" w:ascii="宋体" w:hAnsi="宋体" w:eastAsia="宋体" w:cs="宋体"/>
                <w:b/>
                <w:color w:val="auto"/>
                <w:kern w:val="1"/>
                <w:szCs w:val="24"/>
                <w:highlight w:val="none"/>
                <w:lang w:val="en-GB" w:eastAsia="zh-CN"/>
              </w:rPr>
            </w:pPr>
            <w:r>
              <w:rPr>
                <w:rFonts w:hint="eastAsia" w:ascii="宋体" w:hAnsi="宋体" w:cs="宋体"/>
                <w:b/>
                <w:color w:val="auto"/>
                <w:kern w:val="1"/>
                <w:szCs w:val="24"/>
                <w:highlight w:val="none"/>
              </w:rPr>
              <w:t>递交地点：</w:t>
            </w:r>
            <w:r>
              <w:rPr>
                <w:rFonts w:hint="eastAsia" w:ascii="宋体" w:hAnsi="宋体" w:cs="宋体"/>
                <w:b/>
                <w:color w:val="auto"/>
                <w:kern w:val="1"/>
                <w:szCs w:val="24"/>
                <w:highlight w:val="none"/>
                <w:lang w:val="en-GB" w:eastAsia="zh-CN"/>
              </w:rPr>
              <w:t>佛山市110城市应急指挥中心副楼114室(佛山市禅城区魁奇二路37号)</w:t>
            </w:r>
          </w:p>
          <w:p>
            <w:pPr>
              <w:spacing w:line="360" w:lineRule="auto"/>
              <w:ind w:firstLine="470"/>
              <w:jc w:val="left"/>
              <w:rPr>
                <w:rFonts w:ascii="宋体" w:hAnsi="宋体" w:cs="宋体"/>
                <w:b/>
                <w:color w:val="auto"/>
                <w:kern w:val="1"/>
                <w:szCs w:val="24"/>
                <w:highlight w:val="none"/>
                <w:lang w:val="en-GB"/>
              </w:rPr>
            </w:pPr>
            <w:r>
              <w:rPr>
                <w:rFonts w:hint="eastAsia" w:ascii="宋体" w:hAnsi="宋体" w:cs="宋体"/>
                <w:b/>
                <w:color w:val="auto"/>
                <w:kern w:val="1"/>
                <w:szCs w:val="24"/>
                <w:highlight w:val="none"/>
                <w:lang w:val="en-GB"/>
              </w:rPr>
              <w:t>1、声明：同意由递交磋商响应文件登记顺序的前两名供应商，将作为集中推选的代表，现场对所有磋商响应文件进行密封性检查。</w:t>
            </w:r>
          </w:p>
          <w:p>
            <w:pPr>
              <w:spacing w:line="360" w:lineRule="auto"/>
              <w:ind w:right="238" w:firstLine="472"/>
              <w:jc w:val="left"/>
              <w:rPr>
                <w:rFonts w:ascii="宋体" w:hAnsi="宋体" w:cs="宋体"/>
                <w:b/>
                <w:color w:val="auto"/>
                <w:kern w:val="1"/>
                <w:szCs w:val="24"/>
                <w:highlight w:val="none"/>
              </w:rPr>
            </w:pPr>
            <w:r>
              <w:rPr>
                <w:rFonts w:hint="eastAsia" w:ascii="宋体" w:hAnsi="宋体" w:cs="宋体"/>
                <w:b/>
                <w:color w:val="auto"/>
                <w:kern w:val="1"/>
                <w:szCs w:val="24"/>
                <w:highlight w:val="none"/>
              </w:rPr>
              <w:t>2、提示：供应商的授权代表必须携带本人身份证亲自递交磋商响应文件和出席磋商全程；并响应评委会的要求在规定合理时间内到达评审现场处理磋商相关事宜。</w:t>
            </w:r>
          </w:p>
        </w:tc>
      </w:tr>
    </w:tbl>
    <w:p>
      <w:pPr>
        <w:spacing w:line="360" w:lineRule="auto"/>
        <w:rPr>
          <w:rFonts w:ascii="宋体" w:hAnsi="宋体" w:cs="宋体"/>
          <w:b/>
          <w:color w:val="auto"/>
          <w:kern w:val="1"/>
          <w:sz w:val="21"/>
          <w:szCs w:val="21"/>
          <w:highlight w:val="none"/>
          <w:lang w:val="en-GB"/>
        </w:rPr>
      </w:pPr>
      <w:r>
        <w:rPr>
          <w:rFonts w:hint="eastAsia" w:ascii="宋体" w:hAnsi="宋体" w:cs="宋体"/>
          <w:b/>
          <w:color w:val="auto"/>
          <w:kern w:val="1"/>
          <w:sz w:val="21"/>
          <w:szCs w:val="21"/>
          <w:highlight w:val="none"/>
          <w:lang w:val="en-GB"/>
        </w:rPr>
        <w:t>注意事项</w:t>
      </w:r>
    </w:p>
    <w:p>
      <w:pPr>
        <w:spacing w:line="360" w:lineRule="auto"/>
        <w:outlineLvl w:val="0"/>
        <w:rPr>
          <w:rFonts w:ascii="宋体" w:hAnsi="宋体" w:cs="宋体"/>
          <w:color w:val="auto"/>
          <w:kern w:val="1"/>
          <w:sz w:val="21"/>
          <w:szCs w:val="21"/>
          <w:highlight w:val="none"/>
          <w:lang w:val="en-GB"/>
        </w:rPr>
      </w:pPr>
      <w:bookmarkStart w:id="147" w:name="_Toc24666"/>
      <w:bookmarkStart w:id="148" w:name="_Toc4051"/>
      <w:r>
        <w:rPr>
          <w:rFonts w:hint="eastAsia" w:ascii="宋体" w:hAnsi="宋体" w:cs="宋体"/>
          <w:color w:val="auto"/>
          <w:kern w:val="1"/>
          <w:sz w:val="21"/>
          <w:szCs w:val="21"/>
          <w:highlight w:val="none"/>
          <w:lang w:val="en-GB"/>
        </w:rPr>
        <w:t>一、报价信封另单独封装，并按下列顺序装订：</w:t>
      </w:r>
      <w:bookmarkEnd w:id="147"/>
      <w:bookmarkEnd w:id="148"/>
    </w:p>
    <w:p>
      <w:pPr>
        <w:tabs>
          <w:tab w:val="left" w:pos="900"/>
        </w:tabs>
        <w:spacing w:line="360" w:lineRule="auto"/>
        <w:ind w:firstLine="525" w:firstLineChars="250"/>
        <w:rPr>
          <w:rFonts w:ascii="宋体" w:hAnsi="宋体" w:cs="宋体"/>
          <w:color w:val="auto"/>
          <w:kern w:val="1"/>
          <w:sz w:val="21"/>
          <w:szCs w:val="21"/>
          <w:highlight w:val="none"/>
          <w:lang w:val="en-GB"/>
        </w:rPr>
      </w:pPr>
      <w:r>
        <w:rPr>
          <w:rFonts w:hint="eastAsia" w:ascii="宋体" w:hAnsi="宋体" w:cs="宋体"/>
          <w:color w:val="auto"/>
          <w:kern w:val="1"/>
          <w:sz w:val="21"/>
          <w:szCs w:val="21"/>
          <w:highlight w:val="none"/>
          <w:lang w:val="en-GB"/>
        </w:rPr>
        <w:t>1.《报价一览表》原件（须加盖公章）；</w:t>
      </w:r>
    </w:p>
    <w:p>
      <w:pPr>
        <w:tabs>
          <w:tab w:val="left" w:pos="900"/>
        </w:tabs>
        <w:spacing w:line="360" w:lineRule="auto"/>
        <w:ind w:left="540"/>
        <w:rPr>
          <w:rFonts w:ascii="宋体" w:hAnsi="宋体" w:cs="宋体"/>
          <w:color w:val="auto"/>
          <w:kern w:val="1"/>
          <w:sz w:val="21"/>
          <w:szCs w:val="21"/>
          <w:highlight w:val="none"/>
          <w:lang w:val="en-GB"/>
        </w:rPr>
      </w:pPr>
      <w:r>
        <w:rPr>
          <w:rFonts w:hint="eastAsia" w:ascii="宋体" w:hAnsi="宋体" w:cs="宋体"/>
          <w:color w:val="auto"/>
          <w:kern w:val="1"/>
          <w:sz w:val="21"/>
          <w:szCs w:val="21"/>
          <w:highlight w:val="none"/>
        </w:rPr>
        <w:t>2.</w:t>
      </w:r>
      <w:r>
        <w:rPr>
          <w:rFonts w:hint="eastAsia" w:ascii="宋体" w:hAnsi="宋体" w:cs="宋体"/>
          <w:color w:val="auto"/>
          <w:kern w:val="1"/>
          <w:sz w:val="21"/>
          <w:szCs w:val="21"/>
          <w:highlight w:val="none"/>
          <w:lang w:val="en-GB"/>
        </w:rPr>
        <w:t>授权书原件（须加盖公章）；</w:t>
      </w:r>
    </w:p>
    <w:p>
      <w:pPr>
        <w:tabs>
          <w:tab w:val="left" w:pos="900"/>
        </w:tabs>
        <w:spacing w:line="360" w:lineRule="auto"/>
        <w:ind w:left="540"/>
        <w:rPr>
          <w:rFonts w:ascii="宋体" w:hAnsi="宋体" w:cs="宋体"/>
          <w:color w:val="auto"/>
          <w:kern w:val="1"/>
          <w:sz w:val="21"/>
          <w:szCs w:val="21"/>
          <w:highlight w:val="none"/>
          <w:lang w:val="en-GB"/>
        </w:rPr>
      </w:pPr>
      <w:r>
        <w:rPr>
          <w:rFonts w:hint="eastAsia" w:ascii="宋体" w:hAnsi="宋体" w:cs="宋体"/>
          <w:color w:val="auto"/>
          <w:kern w:val="1"/>
          <w:sz w:val="21"/>
          <w:szCs w:val="21"/>
          <w:highlight w:val="none"/>
        </w:rPr>
        <w:t>3.</w:t>
      </w:r>
      <w:r>
        <w:rPr>
          <w:rFonts w:hint="eastAsia" w:ascii="宋体" w:hAnsi="宋体" w:cs="宋体"/>
          <w:color w:val="auto"/>
          <w:kern w:val="1"/>
          <w:sz w:val="21"/>
          <w:szCs w:val="21"/>
          <w:highlight w:val="none"/>
          <w:lang w:val="en-GB"/>
        </w:rPr>
        <w:t>磋商响应文件电子文档。</w:t>
      </w:r>
    </w:p>
    <w:p>
      <w:pPr>
        <w:spacing w:line="360" w:lineRule="auto"/>
        <w:outlineLvl w:val="0"/>
        <w:rPr>
          <w:rFonts w:ascii="宋体" w:hAnsi="宋体" w:cs="宋体"/>
          <w:color w:val="auto"/>
          <w:kern w:val="1"/>
          <w:sz w:val="21"/>
          <w:szCs w:val="21"/>
          <w:highlight w:val="none"/>
          <w:lang w:val="en-GB"/>
        </w:rPr>
      </w:pPr>
      <w:bookmarkStart w:id="149" w:name="_Toc11742"/>
      <w:bookmarkStart w:id="150" w:name="_Toc6826"/>
      <w:r>
        <w:rPr>
          <w:rFonts w:hint="eastAsia" w:ascii="宋体" w:hAnsi="宋体" w:cs="宋体"/>
          <w:color w:val="auto"/>
          <w:kern w:val="1"/>
          <w:sz w:val="21"/>
          <w:szCs w:val="21"/>
          <w:highlight w:val="none"/>
          <w:lang w:val="en-GB"/>
        </w:rPr>
        <w:t>二、重要提示：</w:t>
      </w:r>
      <w:bookmarkEnd w:id="149"/>
      <w:bookmarkEnd w:id="150"/>
    </w:p>
    <w:p>
      <w:pPr>
        <w:tabs>
          <w:tab w:val="left" w:pos="900"/>
        </w:tabs>
        <w:spacing w:line="360" w:lineRule="auto"/>
        <w:ind w:firstLine="525" w:firstLineChars="250"/>
        <w:rPr>
          <w:rFonts w:ascii="宋体" w:hAnsi="宋体" w:cs="宋体"/>
          <w:color w:val="auto"/>
          <w:kern w:val="1"/>
          <w:sz w:val="21"/>
          <w:szCs w:val="21"/>
          <w:highlight w:val="none"/>
          <w:lang w:val="en-GB"/>
        </w:rPr>
      </w:pPr>
      <w:r>
        <w:rPr>
          <w:rFonts w:hint="eastAsia" w:ascii="宋体" w:hAnsi="宋体" w:cs="宋体"/>
          <w:color w:val="auto"/>
          <w:kern w:val="1"/>
          <w:sz w:val="21"/>
          <w:szCs w:val="21"/>
          <w:highlight w:val="none"/>
          <w:lang w:val="en-GB"/>
        </w:rPr>
        <w:t>1. 报价信封与</w:t>
      </w:r>
      <w:r>
        <w:rPr>
          <w:rFonts w:hint="eastAsia" w:ascii="宋体" w:hAnsi="宋体" w:cs="宋体"/>
          <w:color w:val="auto"/>
          <w:kern w:val="1"/>
          <w:sz w:val="21"/>
          <w:szCs w:val="21"/>
          <w:highlight w:val="none"/>
        </w:rPr>
        <w:t>正、副本</w:t>
      </w:r>
      <w:r>
        <w:rPr>
          <w:rFonts w:hint="eastAsia" w:ascii="宋体" w:hAnsi="宋体" w:cs="宋体"/>
          <w:color w:val="auto"/>
          <w:kern w:val="1"/>
          <w:sz w:val="21"/>
          <w:szCs w:val="21"/>
          <w:highlight w:val="none"/>
          <w:lang w:val="en-GB"/>
        </w:rPr>
        <w:t>必须分开单独封装并标贴此封面，密封口处须加盖公章或授权代表签名。</w:t>
      </w:r>
    </w:p>
    <w:p>
      <w:pPr>
        <w:spacing w:line="360" w:lineRule="auto"/>
        <w:ind w:firstLine="505" w:firstLineChars="250"/>
        <w:rPr>
          <w:rFonts w:ascii="宋体" w:hAnsi="宋体" w:cs="宋体"/>
          <w:color w:val="auto"/>
          <w:kern w:val="1"/>
          <w:sz w:val="21"/>
          <w:szCs w:val="21"/>
          <w:highlight w:val="none"/>
        </w:rPr>
      </w:pPr>
      <w:r>
        <w:rPr>
          <w:rFonts w:hint="eastAsia" w:ascii="宋体" w:hAnsi="宋体" w:cs="宋体"/>
          <w:color w:val="auto"/>
          <w:spacing w:val="-4"/>
          <w:kern w:val="1"/>
          <w:sz w:val="21"/>
          <w:szCs w:val="21"/>
          <w:highlight w:val="none"/>
        </w:rPr>
        <w:t>2. 因交通及停车或有不便，递交响应文件时务请提早到达！</w:t>
      </w:r>
    </w:p>
    <w:p>
      <w:pPr>
        <w:spacing w:line="360" w:lineRule="auto"/>
        <w:rPr>
          <w:rFonts w:ascii="宋体" w:hAnsi="宋体" w:cs="宋体"/>
          <w:color w:val="auto"/>
          <w:szCs w:val="24"/>
          <w:highlight w:val="none"/>
          <w:lang w:val="en-GB"/>
        </w:rPr>
      </w:pPr>
    </w:p>
    <w:p>
      <w:pPr>
        <w:rPr>
          <w:color w:val="auto"/>
          <w:highlight w:val="none"/>
        </w:rPr>
      </w:pPr>
    </w:p>
    <w:p>
      <w:pPr>
        <w:rPr>
          <w:color w:val="auto"/>
          <w:highlight w:val="none"/>
        </w:rPr>
      </w:pPr>
    </w:p>
    <w:p>
      <w:pPr>
        <w:rPr>
          <w:color w:val="auto"/>
          <w:highlight w:val="none"/>
        </w:rPr>
      </w:pPr>
    </w:p>
    <w:sectPr>
      <w:footerReference r:id="rId12" w:type="first"/>
      <w:pgSz w:w="11906" w:h="16838"/>
      <w:pgMar w:top="1247" w:right="1304" w:bottom="1247" w:left="1304" w:header="777" w:footer="71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rif">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0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2520" w:firstLineChars="14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7" name="文本框 1036"/>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upright="1">
                      <a:spAutoFit/>
                    </wps:bodyPr>
                  </wps:wsp>
                </a:graphicData>
              </a:graphic>
            </wp:anchor>
          </w:drawing>
        </mc:Choice>
        <mc:Fallback>
          <w:pict>
            <v:rect id="文本框 1036"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UWP1bRAAAAAgEAAA8AAAAAAAAAAQAgAAAA&#10;IgAAAGRycy9kb3ducmV2LnhtbFBLAQIUABQAAAAIAIdO4kDjt5s32QEAAJ4DAAAOAAAAAAAAAAEA&#10;IAAAACABAABkcnMvZTJvRG9jLnhtbFBLBQYAAAAABgAGAFkBAABr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2520" w:firstLineChars="14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039"/>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21"/>
                          </w:pPr>
                          <w:r>
                            <w:fldChar w:fldCharType="begin"/>
                          </w:r>
                          <w:r>
                            <w:instrText xml:space="preserve"> PAGE  \* MERGEFORMAT </w:instrText>
                          </w:r>
                          <w:r>
                            <w:fldChar w:fldCharType="separate"/>
                          </w:r>
                          <w:r>
                            <w:t>6</w:t>
                          </w:r>
                          <w:r>
                            <w:fldChar w:fldCharType="end"/>
                          </w:r>
                        </w:p>
                      </w:txbxContent>
                    </wps:txbx>
                    <wps:bodyPr vert="horz" wrap="none" lIns="0" tIns="0" rIns="0" bIns="0" anchor="t" upright="1">
                      <a:spAutoFit/>
                    </wps:bodyPr>
                  </wps:wsp>
                </a:graphicData>
              </a:graphic>
            </wp:anchor>
          </w:drawing>
        </mc:Choice>
        <mc:Fallback>
          <w:pict>
            <v:rect id="文本框 1039"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UWP1bRAAAAAgEAAA8AAAAAAAAAAQAgAAAA&#10;IgAAAGRycy9kb3ducmV2LnhtbFBLAQIUABQAAAAIAIdO4kBh2Ckt2QEAAJ4DAAAOAAAAAAAAAAEA&#10;IAAAACABAABkcnMvZTJvRG9jLnhtbFBLBQYAAAAABgAGAFkBAABr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9" name="文本框 1040"/>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21"/>
                          </w:pPr>
                          <w:r>
                            <w:fldChar w:fldCharType="begin"/>
                          </w:r>
                          <w:r>
                            <w:instrText xml:space="preserve"> PAGE  \* MERGEFORMAT </w:instrText>
                          </w:r>
                          <w:r>
                            <w:fldChar w:fldCharType="separate"/>
                          </w:r>
                          <w:r>
                            <w:t>41</w:t>
                          </w:r>
                          <w:r>
                            <w:fldChar w:fldCharType="end"/>
                          </w:r>
                        </w:p>
                      </w:txbxContent>
                    </wps:txbx>
                    <wps:bodyPr vert="horz" wrap="none" lIns="0" tIns="0" rIns="0" bIns="0" anchor="t" upright="1">
                      <a:spAutoFit/>
                    </wps:bodyPr>
                  </wps:wsp>
                </a:graphicData>
              </a:graphic>
            </wp:anchor>
          </w:drawing>
        </mc:Choice>
        <mc:Fallback>
          <w:pict>
            <v:rect id="文本框 104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RY/VtEAAAACAQAADwAAAAAAAAABACAAAAAi&#10;AAAAZHJzL2Rvd25yZXYueG1sUEsBAhQAFAAAAAgAh07iQDIsIWrYAQAAngMAAA4AAAAAAAAAAQAg&#10;AAAAIAEAAGRycy9lMm9Eb2MueG1sUEsFBgAAAAAGAAYAWQEAAGo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4100" name="文本框 10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ind w:firstLine="240"/>
                          </w:pPr>
                          <w:r>
                            <w:rPr>
                              <w:rFonts w:hint="eastAsia"/>
                            </w:rPr>
                            <w:t>第</w:t>
                          </w:r>
                          <w:r>
                            <w:fldChar w:fldCharType="begin"/>
                          </w:r>
                          <w:r>
                            <w:instrText xml:space="preserve"> PAGE  \* MERGEFORMAT </w:instrText>
                          </w:r>
                          <w:r>
                            <w:fldChar w:fldCharType="separate"/>
                          </w:r>
                          <w:r>
                            <w:rPr>
                              <w:rFonts w:hint="eastAsia"/>
                            </w:rPr>
                            <w:t>0</w:t>
                          </w:r>
                          <w:r>
                            <w:fldChar w:fldCharType="end"/>
                          </w:r>
                          <w:r>
                            <w:rPr>
                              <w:rFonts w:hint="eastAsia"/>
                            </w:rPr>
                            <w:t>页</w:t>
                          </w:r>
                        </w:p>
                      </w:txbxContent>
                    </wps:txbx>
                    <wps:bodyPr vert="horz" wrap="none" lIns="0" tIns="0" rIns="0" bIns="0" anchor="t" upright="1">
                      <a:spAutoFit/>
                    </wps:bodyPr>
                  </wps:wsp>
                </a:graphicData>
              </a:graphic>
            </wp:anchor>
          </w:drawing>
        </mc:Choice>
        <mc:Fallback>
          <w:pict>
            <v:rect id="文本框 1029" o:spid="_x0000_s1026" o:spt="1"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jL/jTAQAAoQ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koyxQlLb375+ePy68/l&#10;93dWlcu3yaQ+4JrO3oc7mDKkMCkeWrDpS1rYkI09X41VQ2SSNqvVcrVK8JJqc0I4xcP1ABjfK29Z&#10;CmoO9HLZUHH6iHE8Oh9J3YxLq/O32pixmnaKRHMklqI47IeJ7d43ZxJKc0/gnYdvnPX06jV3NOSc&#10;mQ+OTE0DMgcwB/s5EE7SxZpHzo4B9KEjpCpzxPDuGIlK5pkaj90mPvRyWek0ZWk0Huf51MOft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ajL/jTAQAAoQMAAA4AAAAAAAAAAQAgAAAAHwEA&#10;AGRycy9lMm9Eb2MueG1sUEsFBgAAAAAGAAYAWQEAAGQFAAAAAA==&#10;">
              <v:fill on="f" focussize="0,0"/>
              <v:stroke on="f"/>
              <v:imagedata o:title=""/>
              <o:lock v:ext="edit" aspectratio="f"/>
              <v:textbox inset="0mm,0mm,0mm,0mm" style="mso-fit-shape-to-text:t;">
                <w:txbxContent>
                  <w:p>
                    <w:pPr>
                      <w:pStyle w:val="4"/>
                      <w:ind w:firstLine="240"/>
                    </w:pPr>
                    <w:r>
                      <w:rPr>
                        <w:rFonts w:hint="eastAsia"/>
                      </w:rPr>
                      <w:t>第</w:t>
                    </w:r>
                    <w:r>
                      <w:fldChar w:fldCharType="begin"/>
                    </w:r>
                    <w:r>
                      <w:instrText xml:space="preserve"> PAGE  \* MERGEFORMAT </w:instrText>
                    </w:r>
                    <w:r>
                      <w:fldChar w:fldCharType="separate"/>
                    </w:r>
                    <w:r>
                      <w:rPr>
                        <w:rFonts w:hint="eastAsia"/>
                      </w:rPr>
                      <w:t>0</w:t>
                    </w:r>
                    <w:r>
                      <w:fldChar w:fldCharType="end"/>
                    </w: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left="1080" w:hanging="1080" w:hangingChars="6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92075"/>
    <w:multiLevelType w:val="singleLevel"/>
    <w:tmpl w:val="E9092075"/>
    <w:lvl w:ilvl="0" w:tentative="0">
      <w:start w:val="1"/>
      <w:numFmt w:val="decimal"/>
      <w:lvlText w:val="(%1)"/>
      <w:lvlJc w:val="left"/>
      <w:pPr>
        <w:ind w:left="425" w:hanging="425"/>
      </w:pPr>
      <w:rPr>
        <w:rFonts w:hint="default"/>
      </w:rPr>
    </w:lvl>
  </w:abstractNum>
  <w:abstractNum w:abstractNumId="1">
    <w:nsid w:val="00000000"/>
    <w:multiLevelType w:val="singleLevel"/>
    <w:tmpl w:val="00000000"/>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
    <w:nsid w:val="00000005"/>
    <w:multiLevelType w:val="multilevel"/>
    <w:tmpl w:val="00000005"/>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4">
    <w:nsid w:val="00000006"/>
    <w:multiLevelType w:val="multilevel"/>
    <w:tmpl w:val="00000006"/>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6">
    <w:nsid w:val="00000008"/>
    <w:multiLevelType w:val="multilevel"/>
    <w:tmpl w:val="00000008"/>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8">
    <w:nsid w:val="0000000A"/>
    <w:multiLevelType w:val="multilevel"/>
    <w:tmpl w:val="0000000A"/>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C"/>
    <w:multiLevelType w:val="multilevel"/>
    <w:tmpl w:val="0000000C"/>
    <w:lvl w:ilvl="0" w:tentative="0">
      <w:start w:val="1"/>
      <w:numFmt w:val="bullet"/>
      <w:lvlText w:val=""/>
      <w:lvlJc w:val="left"/>
      <w:pPr>
        <w:ind w:left="1021" w:hanging="420"/>
      </w:pPr>
      <w:rPr>
        <w:rFonts w:hint="default" w:ascii="Wingdings" w:hAnsi="Wingdings"/>
      </w:rPr>
    </w:lvl>
    <w:lvl w:ilvl="1" w:tentative="0">
      <w:start w:val="1"/>
      <w:numFmt w:val="bullet"/>
      <w:lvlText w:val=""/>
      <w:lvlJc w:val="left"/>
      <w:pPr>
        <w:ind w:left="1441" w:hanging="420"/>
      </w:pPr>
      <w:rPr>
        <w:rFonts w:hint="default" w:ascii="Wingdings" w:hAnsi="Wingdings"/>
      </w:rPr>
    </w:lvl>
    <w:lvl w:ilvl="2" w:tentative="0">
      <w:start w:val="1"/>
      <w:numFmt w:val="bullet"/>
      <w:lvlText w:val=""/>
      <w:lvlJc w:val="left"/>
      <w:pPr>
        <w:ind w:left="1861" w:hanging="420"/>
      </w:pPr>
      <w:rPr>
        <w:rFonts w:hint="default" w:ascii="Wingdings" w:hAnsi="Wingdings"/>
      </w:rPr>
    </w:lvl>
    <w:lvl w:ilvl="3" w:tentative="0">
      <w:start w:val="1"/>
      <w:numFmt w:val="bullet"/>
      <w:lvlText w:val=""/>
      <w:lvlJc w:val="left"/>
      <w:pPr>
        <w:ind w:left="2281" w:hanging="420"/>
      </w:pPr>
      <w:rPr>
        <w:rFonts w:hint="default" w:ascii="Wingdings" w:hAnsi="Wingdings"/>
      </w:rPr>
    </w:lvl>
    <w:lvl w:ilvl="4" w:tentative="0">
      <w:start w:val="1"/>
      <w:numFmt w:val="bullet"/>
      <w:lvlText w:val=""/>
      <w:lvlJc w:val="left"/>
      <w:pPr>
        <w:ind w:left="2701" w:hanging="420"/>
      </w:pPr>
      <w:rPr>
        <w:rFonts w:hint="default" w:ascii="Wingdings" w:hAnsi="Wingdings"/>
      </w:rPr>
    </w:lvl>
    <w:lvl w:ilvl="5" w:tentative="0">
      <w:start w:val="1"/>
      <w:numFmt w:val="bullet"/>
      <w:lvlText w:val=""/>
      <w:lvlJc w:val="left"/>
      <w:pPr>
        <w:ind w:left="3121" w:hanging="420"/>
      </w:pPr>
      <w:rPr>
        <w:rFonts w:hint="default" w:ascii="Wingdings" w:hAnsi="Wingdings"/>
      </w:rPr>
    </w:lvl>
    <w:lvl w:ilvl="6" w:tentative="0">
      <w:start w:val="1"/>
      <w:numFmt w:val="bullet"/>
      <w:lvlText w:val=""/>
      <w:lvlJc w:val="left"/>
      <w:pPr>
        <w:ind w:left="3541" w:hanging="420"/>
      </w:pPr>
      <w:rPr>
        <w:rFonts w:hint="default" w:ascii="Wingdings" w:hAnsi="Wingdings"/>
      </w:rPr>
    </w:lvl>
    <w:lvl w:ilvl="7" w:tentative="0">
      <w:start w:val="1"/>
      <w:numFmt w:val="bullet"/>
      <w:lvlText w:val=""/>
      <w:lvlJc w:val="left"/>
      <w:pPr>
        <w:ind w:left="3961" w:hanging="420"/>
      </w:pPr>
      <w:rPr>
        <w:rFonts w:hint="default" w:ascii="Wingdings" w:hAnsi="Wingdings"/>
      </w:rPr>
    </w:lvl>
    <w:lvl w:ilvl="8" w:tentative="0">
      <w:start w:val="1"/>
      <w:numFmt w:val="bullet"/>
      <w:lvlText w:val=""/>
      <w:lvlJc w:val="left"/>
      <w:pPr>
        <w:ind w:left="4381" w:hanging="420"/>
      </w:pPr>
      <w:rPr>
        <w:rFonts w:hint="default" w:ascii="Wingdings" w:hAnsi="Wingdings"/>
      </w:rPr>
    </w:lvl>
  </w:abstractNum>
  <w:abstractNum w:abstractNumId="11">
    <w:nsid w:val="0000000D"/>
    <w:multiLevelType w:val="multilevel"/>
    <w:tmpl w:val="0000000D"/>
    <w:lvl w:ilvl="0" w:tentative="0">
      <w:start w:val="1"/>
      <w:numFmt w:val="decimal"/>
      <w:lvlText w:val="7.%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F"/>
    <w:multiLevelType w:val="multilevel"/>
    <w:tmpl w:val="0000000F"/>
    <w:lvl w:ilvl="0" w:tentative="0">
      <w:start w:val="1"/>
      <w:numFmt w:val="decimal"/>
      <w:lvlText w:val="6.%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0"/>
    <w:multiLevelType w:val="multilevel"/>
    <w:tmpl w:val="00000010"/>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4">
    <w:nsid w:val="00000011"/>
    <w:multiLevelType w:val="multilevel"/>
    <w:tmpl w:val="000000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multilevel"/>
    <w:tmpl w:val="00000013"/>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6">
    <w:nsid w:val="00000014"/>
    <w:multiLevelType w:val="multilevel"/>
    <w:tmpl w:val="00000014"/>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5"/>
    <w:multiLevelType w:val="multilevel"/>
    <w:tmpl w:val="00000015"/>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6"/>
    <w:multiLevelType w:val="multilevel"/>
    <w:tmpl w:val="00000016"/>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7"/>
    <w:multiLevelType w:val="multilevel"/>
    <w:tmpl w:val="00000017"/>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1">
    <w:nsid w:val="0000001B"/>
    <w:multiLevelType w:val="multilevel"/>
    <w:tmpl w:val="0000001B"/>
    <w:lvl w:ilvl="0" w:tentative="0">
      <w:start w:val="1"/>
      <w:numFmt w:val="decimal"/>
      <w:lvlText w:val="5.%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C"/>
    <w:multiLevelType w:val="multilevel"/>
    <w:tmpl w:val="0000001C"/>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3">
    <w:nsid w:val="0000001D"/>
    <w:multiLevelType w:val="singleLevel"/>
    <w:tmpl w:val="0000001D"/>
    <w:lvl w:ilvl="0" w:tentative="0">
      <w:start w:val="1"/>
      <w:numFmt w:val="decimal"/>
      <w:lvlText w:val="%1."/>
      <w:lvlJc w:val="left"/>
      <w:pPr>
        <w:tabs>
          <w:tab w:val="left" w:pos="312"/>
        </w:tabs>
      </w:pPr>
    </w:lvl>
  </w:abstractNum>
  <w:abstractNum w:abstractNumId="24">
    <w:nsid w:val="0000001E"/>
    <w:multiLevelType w:val="multilevel"/>
    <w:tmpl w:val="0000001E"/>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F"/>
    <w:multiLevelType w:val="multilevel"/>
    <w:tmpl w:val="0000001F"/>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26">
    <w:nsid w:val="00000020"/>
    <w:multiLevelType w:val="multilevel"/>
    <w:tmpl w:val="00000020"/>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1"/>
    <w:multiLevelType w:val="multilevel"/>
    <w:tmpl w:val="00000021"/>
    <w:lvl w:ilvl="0" w:tentative="0">
      <w:start w:val="1"/>
      <w:numFmt w:val="decimal"/>
      <w:lvlText w:val="%1."/>
      <w:lvlJc w:val="left"/>
      <w:pPr>
        <w:tabs>
          <w:tab w:val="left" w:pos="510"/>
        </w:tabs>
        <w:ind w:left="510" w:hanging="510"/>
      </w:pPr>
      <w:rPr>
        <w:rFonts w:hint="default" w:ascii="Times New Roman" w:hAnsi="Times New Roman" w:cs="Times New Roman"/>
        <w:b w:val="0"/>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2"/>
    <w:multiLevelType w:val="multilevel"/>
    <w:tmpl w:val="00000022"/>
    <w:lvl w:ilvl="0" w:tentative="0">
      <w:start w:val="1"/>
      <w:numFmt w:val="decimal"/>
      <w:lvlText w:val="2.%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japaneseCounting"/>
      <w:lvlText w:val="%4、"/>
      <w:lvlJc w:val="left"/>
      <w:pPr>
        <w:ind w:left="1680" w:hanging="420"/>
      </w:pPr>
      <w:rPr>
        <w:rFonts w:hint="default"/>
        <w:b w:val="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3"/>
    <w:multiLevelType w:val="multilevel"/>
    <w:tmpl w:val="00000023"/>
    <w:lvl w:ilvl="0" w:tentative="0">
      <w:start w:val="1"/>
      <w:numFmt w:val="decimal"/>
      <w:lvlText w:val="1.%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4"/>
    <w:multiLevelType w:val="multilevel"/>
    <w:tmpl w:val="00000024"/>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1">
    <w:nsid w:val="00000025"/>
    <w:multiLevelType w:val="multilevel"/>
    <w:tmpl w:val="00000025"/>
    <w:lvl w:ilvl="0" w:tentative="0">
      <w:start w:val="1"/>
      <w:numFmt w:val="decimal"/>
      <w:lvlText w:val="%1."/>
      <w:lvlJc w:val="left"/>
      <w:pPr>
        <w:tabs>
          <w:tab w:val="left" w:pos="510"/>
        </w:tabs>
        <w:ind w:left="510" w:hanging="510"/>
      </w:pPr>
      <w:rPr>
        <w:rFonts w:hint="default" w:ascii="Times New Roman" w:hAnsi="Times New Roman" w:cs="Times New Roman"/>
        <w:b w:val="0"/>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26"/>
    <w:multiLevelType w:val="singleLevel"/>
    <w:tmpl w:val="00000026"/>
    <w:lvl w:ilvl="0" w:tentative="0">
      <w:start w:val="2"/>
      <w:numFmt w:val="chineseCounting"/>
      <w:suff w:val="nothing"/>
      <w:lvlText w:val="（%1）"/>
      <w:lvlJc w:val="left"/>
      <w:rPr>
        <w:rFonts w:hint="eastAsia"/>
      </w:rPr>
    </w:lvl>
  </w:abstractNum>
  <w:abstractNum w:abstractNumId="33">
    <w:nsid w:val="00000027"/>
    <w:multiLevelType w:val="multilevel"/>
    <w:tmpl w:val="00000027"/>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2A"/>
    <w:multiLevelType w:val="multilevel"/>
    <w:tmpl w:val="0000002A"/>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2B"/>
    <w:multiLevelType w:val="multilevel"/>
    <w:tmpl w:val="0000002B"/>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2C"/>
    <w:multiLevelType w:val="multilevel"/>
    <w:tmpl w:val="0000002C"/>
    <w:lvl w:ilvl="0" w:tentative="0">
      <w:start w:val="1"/>
      <w:numFmt w:val="decimal"/>
      <w:lvlText w:val="4.%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2D"/>
    <w:multiLevelType w:val="multilevel"/>
    <w:tmpl w:val="0000002D"/>
    <w:lvl w:ilvl="0" w:tentative="0">
      <w:start w:val="1"/>
      <w:numFmt w:val="decimal"/>
      <w:lvlText w:val="7.%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E"/>
    <w:multiLevelType w:val="multilevel"/>
    <w:tmpl w:val="0000002E"/>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2F"/>
    <w:multiLevelType w:val="multilevel"/>
    <w:tmpl w:val="0000002F"/>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decimal"/>
      <w:lvlText w:val="1.%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31"/>
    <w:multiLevelType w:val="multilevel"/>
    <w:tmpl w:val="00000031"/>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2"/>
    <w:multiLevelType w:val="multilevel"/>
    <w:tmpl w:val="00000032"/>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43">
    <w:nsid w:val="00000033"/>
    <w:multiLevelType w:val="singleLevel"/>
    <w:tmpl w:val="00000033"/>
    <w:lvl w:ilvl="0" w:tentative="0">
      <w:start w:val="1"/>
      <w:numFmt w:val="decimal"/>
      <w:suff w:val="nothing"/>
      <w:lvlText w:val="%1、"/>
      <w:lvlJc w:val="left"/>
    </w:lvl>
  </w:abstractNum>
  <w:abstractNum w:abstractNumId="44">
    <w:nsid w:val="00000034"/>
    <w:multiLevelType w:val="multilevel"/>
    <w:tmpl w:val="00000034"/>
    <w:lvl w:ilvl="0" w:tentative="0">
      <w:start w:val="1"/>
      <w:numFmt w:val="decimal"/>
      <w:lvlText w:val="3.%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default" w:ascii="Times New Roman" w:hAnsi="Times New Roman" w:cs="Times New Roman"/>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35"/>
    <w:multiLevelType w:val="multilevel"/>
    <w:tmpl w:val="00000035"/>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36"/>
    <w:multiLevelType w:val="multilevel"/>
    <w:tmpl w:val="00000036"/>
    <w:lvl w:ilvl="0" w:tentative="0">
      <w:start w:val="1"/>
      <w:numFmt w:val="decimal"/>
      <w:lvlText w:val="1.%1."/>
      <w:lvlJc w:val="left"/>
      <w:pPr>
        <w:tabs>
          <w:tab w:val="left" w:pos="510"/>
        </w:tabs>
        <w:ind w:left="510" w:hanging="510"/>
      </w:pPr>
      <w:rPr>
        <w:rFonts w:hint="default" w:ascii="Times New Roman" w:hAnsi="Times New Roman"/>
        <w:b/>
        <w:i w:val="0"/>
      </w:rPr>
    </w:lvl>
    <w:lvl w:ilvl="1" w:tentative="0">
      <w:start w:val="1"/>
      <w:numFmt w:val="decimal"/>
      <w:lvlText w:val="%2."/>
      <w:lvlJc w:val="left"/>
      <w:pPr>
        <w:tabs>
          <w:tab w:val="left" w:pos="510"/>
        </w:tabs>
        <w:ind w:left="510" w:hanging="510"/>
      </w:pPr>
      <w:rPr>
        <w:rFonts w:hint="eastAsia"/>
        <w:spacing w:val="-20"/>
        <w:kern w:val="2"/>
        <w:position w:val="0"/>
      </w:rPr>
    </w:lvl>
    <w:lvl w:ilvl="2" w:tentative="0">
      <w:start w:val="1"/>
      <w:numFmt w:val="decimal"/>
      <w:lvlText w:val="3.%3."/>
      <w:lvlJc w:val="left"/>
      <w:pPr>
        <w:tabs>
          <w:tab w:val="left" w:pos="420"/>
        </w:tabs>
        <w:ind w:left="420" w:hanging="420"/>
      </w:pPr>
      <w:rPr>
        <w:rFonts w:hint="default" w:ascii="Times New Roman" w:hAnsi="Times New Roman" w:eastAsia="黑体" w:cs="Times New Roman"/>
        <w:b/>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37"/>
    <w:multiLevelType w:val="multilevel"/>
    <w:tmpl w:val="00000037"/>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0000038"/>
    <w:multiLevelType w:val="multilevel"/>
    <w:tmpl w:val="00000038"/>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00000039"/>
    <w:multiLevelType w:val="multilevel"/>
    <w:tmpl w:val="00000039"/>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3A"/>
    <w:multiLevelType w:val="multilevel"/>
    <w:tmpl w:val="0000003A"/>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000003C"/>
    <w:multiLevelType w:val="multilevel"/>
    <w:tmpl w:val="0000003C"/>
    <w:lvl w:ilvl="0" w:tentative="0">
      <w:start w:val="1"/>
      <w:numFmt w:val="decimal"/>
      <w:suff w:val="nothing"/>
      <w:lvlText w:val="%1."/>
      <w:lvlJc w:val="left"/>
      <w:pPr>
        <w:ind w:left="453" w:hanging="453"/>
      </w:pPr>
      <w:rPr>
        <w:rFonts w:hint="default"/>
        <w:b/>
        <w:bCs/>
        <w:color w:val="auto"/>
      </w:rPr>
    </w:lvl>
    <w:lvl w:ilvl="1" w:tentative="0">
      <w:start w:val="1"/>
      <w:numFmt w:val="lowerLetter"/>
      <w:lvlText w:val="%2)"/>
      <w:lvlJc w:val="left"/>
      <w:pPr>
        <w:tabs>
          <w:tab w:val="left" w:pos="783"/>
        </w:tabs>
        <w:ind w:left="783" w:hanging="420"/>
      </w:pPr>
      <w:rPr>
        <w:rFonts w:hint="eastAsia"/>
      </w:rPr>
    </w:lvl>
    <w:lvl w:ilvl="2" w:tentative="0">
      <w:start w:val="1"/>
      <w:numFmt w:val="lowerRoman"/>
      <w:lvlText w:val="%3."/>
      <w:lvlJc w:val="right"/>
      <w:pPr>
        <w:tabs>
          <w:tab w:val="left" w:pos="1203"/>
        </w:tabs>
        <w:ind w:left="1203" w:hanging="420"/>
      </w:pPr>
      <w:rPr>
        <w:rFonts w:hint="eastAsia"/>
      </w:rPr>
    </w:lvl>
    <w:lvl w:ilvl="3" w:tentative="0">
      <w:start w:val="1"/>
      <w:numFmt w:val="decimal"/>
      <w:lvlText w:val="%4."/>
      <w:lvlJc w:val="left"/>
      <w:pPr>
        <w:tabs>
          <w:tab w:val="left" w:pos="1623"/>
        </w:tabs>
        <w:ind w:left="1623" w:hanging="420"/>
      </w:pPr>
      <w:rPr>
        <w:rFonts w:hint="eastAsia"/>
      </w:rPr>
    </w:lvl>
    <w:lvl w:ilvl="4" w:tentative="0">
      <w:start w:val="1"/>
      <w:numFmt w:val="lowerLetter"/>
      <w:lvlText w:val="%5)"/>
      <w:lvlJc w:val="left"/>
      <w:pPr>
        <w:tabs>
          <w:tab w:val="left" w:pos="2043"/>
        </w:tabs>
        <w:ind w:left="2043" w:hanging="420"/>
      </w:pPr>
      <w:rPr>
        <w:rFonts w:hint="eastAsia"/>
      </w:rPr>
    </w:lvl>
    <w:lvl w:ilvl="5" w:tentative="0">
      <w:start w:val="1"/>
      <w:numFmt w:val="lowerRoman"/>
      <w:lvlText w:val="%6."/>
      <w:lvlJc w:val="right"/>
      <w:pPr>
        <w:tabs>
          <w:tab w:val="left" w:pos="2463"/>
        </w:tabs>
        <w:ind w:left="2463" w:hanging="420"/>
      </w:pPr>
      <w:rPr>
        <w:rFonts w:hint="eastAsia"/>
      </w:rPr>
    </w:lvl>
    <w:lvl w:ilvl="6" w:tentative="0">
      <w:start w:val="1"/>
      <w:numFmt w:val="decimal"/>
      <w:lvlText w:val="%7."/>
      <w:lvlJc w:val="left"/>
      <w:pPr>
        <w:tabs>
          <w:tab w:val="left" w:pos="2883"/>
        </w:tabs>
        <w:ind w:left="2883" w:hanging="420"/>
      </w:pPr>
      <w:rPr>
        <w:rFonts w:hint="eastAsia"/>
      </w:rPr>
    </w:lvl>
    <w:lvl w:ilvl="7" w:tentative="0">
      <w:start w:val="1"/>
      <w:numFmt w:val="lowerLetter"/>
      <w:lvlText w:val="%8)"/>
      <w:lvlJc w:val="left"/>
      <w:pPr>
        <w:tabs>
          <w:tab w:val="left" w:pos="3303"/>
        </w:tabs>
        <w:ind w:left="3303" w:hanging="420"/>
      </w:pPr>
      <w:rPr>
        <w:rFonts w:hint="eastAsia"/>
      </w:rPr>
    </w:lvl>
    <w:lvl w:ilvl="8" w:tentative="0">
      <w:start w:val="1"/>
      <w:numFmt w:val="lowerRoman"/>
      <w:lvlText w:val="%9."/>
      <w:lvlJc w:val="right"/>
      <w:pPr>
        <w:tabs>
          <w:tab w:val="left" w:pos="3723"/>
        </w:tabs>
        <w:ind w:left="3723" w:hanging="420"/>
      </w:pPr>
      <w:rPr>
        <w:rFonts w:hint="eastAsia"/>
      </w:rPr>
    </w:lvl>
  </w:abstractNum>
  <w:abstractNum w:abstractNumId="52">
    <w:nsid w:val="0000003D"/>
    <w:multiLevelType w:val="multilevel"/>
    <w:tmpl w:val="000000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40"/>
    <w:multiLevelType w:val="multilevel"/>
    <w:tmpl w:val="00000040"/>
    <w:lvl w:ilvl="0" w:tentative="0">
      <w:start w:val="1"/>
      <w:numFmt w:val="decimal"/>
      <w:lvlText w:val="4.%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u w:val="none" w:color="000000"/>
      </w:rPr>
    </w:lvl>
    <w:lvl w:ilvl="2" w:tentative="0">
      <w:start w:val="1"/>
      <w:numFmt w:val="decimal"/>
      <w:lvlText w:val="%3."/>
      <w:lvlJc w:val="left"/>
      <w:pPr>
        <w:tabs>
          <w:tab w:val="left" w:pos="360"/>
        </w:tabs>
        <w:ind w:left="360" w:hanging="360"/>
      </w:pPr>
      <w:rPr>
        <w:rFonts w:hint="eastAsia"/>
      </w:rPr>
    </w:lvl>
    <w:lvl w:ilvl="3" w:tentative="0">
      <w:start w:val="1"/>
      <w:numFmt w:val="decimal"/>
      <w:lvlText w:val="%4."/>
      <w:lvlJc w:val="left"/>
      <w:pPr>
        <w:tabs>
          <w:tab w:val="left" w:pos="397"/>
        </w:tabs>
        <w:ind w:left="397" w:hanging="397"/>
      </w:pPr>
      <w:rPr>
        <w:rFonts w:hint="eastAsia"/>
      </w:r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54">
    <w:nsid w:val="00B344D2"/>
    <w:multiLevelType w:val="multilevel"/>
    <w:tmpl w:val="00B344D2"/>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204B71A"/>
    <w:multiLevelType w:val="multilevel"/>
    <w:tmpl w:val="0204B71A"/>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208C65EE"/>
    <w:multiLevelType w:val="multilevel"/>
    <w:tmpl w:val="208C65EE"/>
    <w:lvl w:ilvl="0" w:tentative="0">
      <w:start w:val="1"/>
      <w:numFmt w:val="decimal"/>
      <w:lvlText w:val="2.%1."/>
      <w:lvlJc w:val="left"/>
      <w:pPr>
        <w:tabs>
          <w:tab w:val="left" w:pos="510"/>
        </w:tabs>
        <w:ind w:left="510" w:hanging="510"/>
      </w:pPr>
      <w:rPr>
        <w:rFonts w:hint="default" w:ascii="Times New Roman" w:hAnsi="Times New Roman"/>
        <w:b/>
        <w:i w:val="0"/>
        <w:sz w:val="24"/>
      </w:rPr>
    </w:lvl>
    <w:lvl w:ilvl="1" w:tentative="0">
      <w:start w:val="1"/>
      <w:numFmt w:val="decimal"/>
      <w:lvlText w:val="3.%2."/>
      <w:lvlJc w:val="left"/>
      <w:pPr>
        <w:tabs>
          <w:tab w:val="left" w:pos="510"/>
        </w:tabs>
        <w:ind w:left="510" w:hanging="510"/>
      </w:pPr>
      <w:rPr>
        <w:rFonts w:hint="default" w:ascii="Times New Roman" w:hAnsi="Times New Roman"/>
        <w:b/>
        <w:i w:val="0"/>
        <w:color w:val="auto"/>
        <w:sz w:val="24"/>
        <w:szCs w:val="24"/>
      </w:rPr>
    </w:lvl>
    <w:lvl w:ilvl="2" w:tentative="0">
      <w:start w:val="1"/>
      <w:numFmt w:val="decimal"/>
      <w:lvlText w:val="%3."/>
      <w:lvlJc w:val="left"/>
      <w:pPr>
        <w:tabs>
          <w:tab w:val="left" w:pos="510"/>
        </w:tabs>
        <w:ind w:left="510" w:hanging="510"/>
      </w:pPr>
      <w:rPr>
        <w:rFonts w:hint="eastAsia"/>
        <w:b w:val="0"/>
        <w:i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24843EF5"/>
    <w:multiLevelType w:val="multilevel"/>
    <w:tmpl w:val="24843EF5"/>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358B3FBC"/>
    <w:multiLevelType w:val="singleLevel"/>
    <w:tmpl w:val="358B3FBC"/>
    <w:lvl w:ilvl="0" w:tentative="0">
      <w:start w:val="1"/>
      <w:numFmt w:val="decimalEnclosedCircleChinese"/>
      <w:suff w:val="nothing"/>
      <w:lvlText w:val="%1　"/>
      <w:lvlJc w:val="left"/>
      <w:pPr>
        <w:ind w:left="0" w:firstLine="400"/>
      </w:pPr>
      <w:rPr>
        <w:rFonts w:hint="eastAsia"/>
      </w:rPr>
    </w:lvl>
  </w:abstractNum>
  <w:abstractNum w:abstractNumId="59">
    <w:nsid w:val="485E042A"/>
    <w:multiLevelType w:val="singleLevel"/>
    <w:tmpl w:val="485E042A"/>
    <w:lvl w:ilvl="0" w:tentative="0">
      <w:start w:val="3"/>
      <w:numFmt w:val="chineseCounting"/>
      <w:suff w:val="nothing"/>
      <w:lvlText w:val="（%1）"/>
      <w:lvlJc w:val="left"/>
      <w:rPr>
        <w:rFonts w:hint="eastAsia"/>
      </w:rPr>
    </w:lvl>
  </w:abstractNum>
  <w:abstractNum w:abstractNumId="60">
    <w:nsid w:val="5E2968D0"/>
    <w:multiLevelType w:val="multilevel"/>
    <w:tmpl w:val="5E2968D0"/>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5F48DE9F"/>
    <w:multiLevelType w:val="singleLevel"/>
    <w:tmpl w:val="5F48DE9F"/>
    <w:lvl w:ilvl="0" w:tentative="0">
      <w:start w:val="1"/>
      <w:numFmt w:val="decimal"/>
      <w:lvlText w:val="%1)"/>
      <w:lvlJc w:val="left"/>
      <w:pPr>
        <w:ind w:left="425" w:hanging="425"/>
      </w:pPr>
      <w:rPr>
        <w:rFonts w:hint="default"/>
      </w:rPr>
    </w:lvl>
  </w:abstractNum>
  <w:abstractNum w:abstractNumId="62">
    <w:nsid w:val="622F276F"/>
    <w:multiLevelType w:val="multilevel"/>
    <w:tmpl w:val="622F276F"/>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67CA9250"/>
    <w:multiLevelType w:val="multilevel"/>
    <w:tmpl w:val="67CA9250"/>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6C955BD1"/>
    <w:multiLevelType w:val="multilevel"/>
    <w:tmpl w:val="6C955BD1"/>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D207E09"/>
    <w:multiLevelType w:val="multilevel"/>
    <w:tmpl w:val="7D207E09"/>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7D207E14"/>
    <w:multiLevelType w:val="multilevel"/>
    <w:tmpl w:val="7D207E14"/>
    <w:lvl w:ilvl="0" w:tentative="0">
      <w:start w:val="1"/>
      <w:numFmt w:val="decimal"/>
      <w:lvlText w:val="%1."/>
      <w:lvlJc w:val="left"/>
      <w:pPr>
        <w:tabs>
          <w:tab w:val="left" w:pos="510"/>
        </w:tabs>
        <w:ind w:left="510" w:hanging="510"/>
      </w:pPr>
      <w:rPr>
        <w:rFonts w:hint="eastAsia" w:ascii="Times New Roman" w:hAnsi="Times New Roman" w:eastAsia="宋体"/>
        <w:b/>
        <w:i/>
        <w:caps w:val="0"/>
        <w:color w:val="000000"/>
        <w:spacing w:val="0"/>
        <w:w w:val="100"/>
        <w:sz w:val="24"/>
        <w:szCs w:val="24"/>
        <w:u w:val="double"/>
      </w:rPr>
    </w:lvl>
    <w:lvl w:ilvl="1" w:tentative="0">
      <w:start w:val="1"/>
      <w:numFmt w:val="decimal"/>
      <w:lvlText w:val="%2."/>
      <w:lvlJc w:val="left"/>
      <w:pPr>
        <w:tabs>
          <w:tab w:val="left" w:pos="510"/>
        </w:tabs>
        <w:ind w:left="510" w:hanging="510"/>
      </w:pPr>
      <w:rPr>
        <w:rFonts w:hint="default" w:ascii="Times New Roman" w:hAnsi="Times New Roman" w:cs="Times New Roman"/>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7">
    <w:nsid w:val="7F1C777C"/>
    <w:multiLevelType w:val="singleLevel"/>
    <w:tmpl w:val="7F1C777C"/>
    <w:lvl w:ilvl="0" w:tentative="0">
      <w:start w:val="1"/>
      <w:numFmt w:val="decimal"/>
      <w:lvlText w:val="(%1)"/>
      <w:lvlJc w:val="left"/>
      <w:pPr>
        <w:ind w:left="425" w:hanging="425"/>
      </w:pPr>
      <w:rPr>
        <w:rFonts w:hint="default"/>
      </w:rPr>
    </w:lvl>
  </w:abstractNum>
  <w:num w:numId="1">
    <w:abstractNumId w:val="32"/>
  </w:num>
  <w:num w:numId="2">
    <w:abstractNumId w:val="56"/>
  </w:num>
  <w:num w:numId="3">
    <w:abstractNumId w:val="59"/>
  </w:num>
  <w:num w:numId="4">
    <w:abstractNumId w:val="23"/>
  </w:num>
  <w:num w:numId="5">
    <w:abstractNumId w:val="43"/>
  </w:num>
  <w:num w:numId="6">
    <w:abstractNumId w:val="46"/>
  </w:num>
  <w:num w:numId="7">
    <w:abstractNumId w:val="27"/>
  </w:num>
  <w:num w:numId="8">
    <w:abstractNumId w:val="20"/>
  </w:num>
  <w:num w:numId="9">
    <w:abstractNumId w:val="31"/>
  </w:num>
  <w:num w:numId="10">
    <w:abstractNumId w:val="28"/>
  </w:num>
  <w:num w:numId="11">
    <w:abstractNumId w:val="44"/>
  </w:num>
  <w:num w:numId="12">
    <w:abstractNumId w:val="19"/>
  </w:num>
  <w:num w:numId="13">
    <w:abstractNumId w:val="39"/>
  </w:num>
  <w:num w:numId="14">
    <w:abstractNumId w:val="18"/>
  </w:num>
  <w:num w:numId="15">
    <w:abstractNumId w:val="50"/>
  </w:num>
  <w:num w:numId="16">
    <w:abstractNumId w:val="49"/>
  </w:num>
  <w:num w:numId="17">
    <w:abstractNumId w:val="36"/>
  </w:num>
  <w:num w:numId="18">
    <w:abstractNumId w:val="34"/>
  </w:num>
  <w:num w:numId="19">
    <w:abstractNumId w:val="24"/>
  </w:num>
  <w:num w:numId="20">
    <w:abstractNumId w:val="21"/>
  </w:num>
  <w:num w:numId="21">
    <w:abstractNumId w:val="48"/>
  </w:num>
  <w:num w:numId="22">
    <w:abstractNumId w:val="45"/>
  </w:num>
  <w:num w:numId="23">
    <w:abstractNumId w:val="38"/>
  </w:num>
  <w:num w:numId="24">
    <w:abstractNumId w:val="5"/>
  </w:num>
  <w:num w:numId="25">
    <w:abstractNumId w:val="42"/>
  </w:num>
  <w:num w:numId="26">
    <w:abstractNumId w:val="9"/>
  </w:num>
  <w:num w:numId="27">
    <w:abstractNumId w:val="25"/>
  </w:num>
  <w:num w:numId="28">
    <w:abstractNumId w:val="53"/>
  </w:num>
  <w:num w:numId="29">
    <w:abstractNumId w:val="15"/>
  </w:num>
  <w:num w:numId="30">
    <w:abstractNumId w:val="2"/>
  </w:num>
  <w:num w:numId="31">
    <w:abstractNumId w:val="3"/>
  </w:num>
  <w:num w:numId="32">
    <w:abstractNumId w:val="22"/>
  </w:num>
  <w:num w:numId="33">
    <w:abstractNumId w:val="16"/>
  </w:num>
  <w:num w:numId="34">
    <w:abstractNumId w:val="35"/>
  </w:num>
  <w:num w:numId="35">
    <w:abstractNumId w:val="33"/>
  </w:num>
  <w:num w:numId="36">
    <w:abstractNumId w:val="47"/>
  </w:num>
  <w:num w:numId="37">
    <w:abstractNumId w:val="30"/>
  </w:num>
  <w:num w:numId="38">
    <w:abstractNumId w:val="29"/>
  </w:num>
  <w:num w:numId="39">
    <w:abstractNumId w:val="40"/>
  </w:num>
  <w:num w:numId="40">
    <w:abstractNumId w:val="12"/>
  </w:num>
  <w:num w:numId="41">
    <w:abstractNumId w:val="10"/>
  </w:num>
  <w:num w:numId="42">
    <w:abstractNumId w:val="64"/>
  </w:num>
  <w:num w:numId="43">
    <w:abstractNumId w:val="58"/>
  </w:num>
  <w:num w:numId="44">
    <w:abstractNumId w:val="37"/>
  </w:num>
  <w:num w:numId="45">
    <w:abstractNumId w:val="17"/>
  </w:num>
  <w:num w:numId="46">
    <w:abstractNumId w:val="7"/>
  </w:num>
  <w:num w:numId="47">
    <w:abstractNumId w:val="26"/>
  </w:num>
  <w:num w:numId="48">
    <w:abstractNumId w:val="11"/>
  </w:num>
  <w:num w:numId="49">
    <w:abstractNumId w:val="4"/>
  </w:num>
  <w:num w:numId="50">
    <w:abstractNumId w:val="14"/>
  </w:num>
  <w:num w:numId="51">
    <w:abstractNumId w:val="1"/>
  </w:num>
  <w:num w:numId="52">
    <w:abstractNumId w:val="51"/>
  </w:num>
  <w:num w:numId="53">
    <w:abstractNumId w:val="52"/>
  </w:num>
  <w:num w:numId="54">
    <w:abstractNumId w:val="41"/>
  </w:num>
  <w:num w:numId="55">
    <w:abstractNumId w:val="0"/>
  </w:num>
  <w:num w:numId="56">
    <w:abstractNumId w:val="61"/>
  </w:num>
  <w:num w:numId="57">
    <w:abstractNumId w:val="67"/>
  </w:num>
  <w:num w:numId="58">
    <w:abstractNumId w:val="65"/>
  </w:num>
  <w:num w:numId="59">
    <w:abstractNumId w:val="63"/>
  </w:num>
  <w:num w:numId="60">
    <w:abstractNumId w:val="60"/>
  </w:num>
  <w:num w:numId="61">
    <w:abstractNumId w:val="55"/>
  </w:num>
  <w:num w:numId="62">
    <w:abstractNumId w:val="54"/>
  </w:num>
  <w:num w:numId="63">
    <w:abstractNumId w:val="62"/>
  </w:num>
  <w:num w:numId="64">
    <w:abstractNumId w:val="57"/>
  </w:num>
  <w:num w:numId="65">
    <w:abstractNumId w:val="66"/>
  </w:num>
  <w:num w:numId="66">
    <w:abstractNumId w:val="8"/>
  </w:num>
  <w:num w:numId="67">
    <w:abstractNumId w:val="13"/>
  </w:num>
  <w:num w:numId="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WZlOGFkNjRjNDcxODM5OGExOTU3NTg2MThjY2EifQ=="/>
  </w:docVars>
  <w:rsids>
    <w:rsidRoot w:val="00000000"/>
    <w:rsid w:val="03856610"/>
    <w:rsid w:val="055D716C"/>
    <w:rsid w:val="05CA4D16"/>
    <w:rsid w:val="073A3E70"/>
    <w:rsid w:val="075275C2"/>
    <w:rsid w:val="09807FFE"/>
    <w:rsid w:val="0A8442A3"/>
    <w:rsid w:val="0AAF0151"/>
    <w:rsid w:val="0BCD436B"/>
    <w:rsid w:val="0C325F60"/>
    <w:rsid w:val="0DBB2612"/>
    <w:rsid w:val="0DED7443"/>
    <w:rsid w:val="112B2F9E"/>
    <w:rsid w:val="12EF321B"/>
    <w:rsid w:val="13800829"/>
    <w:rsid w:val="14583CDB"/>
    <w:rsid w:val="14B96D12"/>
    <w:rsid w:val="14E17489"/>
    <w:rsid w:val="15713BB7"/>
    <w:rsid w:val="169030CF"/>
    <w:rsid w:val="17F378CF"/>
    <w:rsid w:val="188449CB"/>
    <w:rsid w:val="1A2755AD"/>
    <w:rsid w:val="1A2F30B1"/>
    <w:rsid w:val="1B1E1BBA"/>
    <w:rsid w:val="20C059AA"/>
    <w:rsid w:val="22450496"/>
    <w:rsid w:val="24F63A2B"/>
    <w:rsid w:val="25BD052B"/>
    <w:rsid w:val="281D62A2"/>
    <w:rsid w:val="2B763501"/>
    <w:rsid w:val="2D9060A7"/>
    <w:rsid w:val="30EE3113"/>
    <w:rsid w:val="314F2004"/>
    <w:rsid w:val="3299311D"/>
    <w:rsid w:val="34375E90"/>
    <w:rsid w:val="349B7B0B"/>
    <w:rsid w:val="36BE795E"/>
    <w:rsid w:val="38E47102"/>
    <w:rsid w:val="3F36292F"/>
    <w:rsid w:val="46D30374"/>
    <w:rsid w:val="475538A7"/>
    <w:rsid w:val="48851749"/>
    <w:rsid w:val="49E345C2"/>
    <w:rsid w:val="4A85222E"/>
    <w:rsid w:val="4A872616"/>
    <w:rsid w:val="4C5E74A3"/>
    <w:rsid w:val="4CCC42FC"/>
    <w:rsid w:val="4DA702EF"/>
    <w:rsid w:val="4EE97543"/>
    <w:rsid w:val="508A22C2"/>
    <w:rsid w:val="509406B6"/>
    <w:rsid w:val="51392C74"/>
    <w:rsid w:val="529F6660"/>
    <w:rsid w:val="53E0193C"/>
    <w:rsid w:val="53F5758A"/>
    <w:rsid w:val="54860F6E"/>
    <w:rsid w:val="560D1B3A"/>
    <w:rsid w:val="575C4C1D"/>
    <w:rsid w:val="57C25CF3"/>
    <w:rsid w:val="5B064636"/>
    <w:rsid w:val="5DD8026C"/>
    <w:rsid w:val="5E7163A0"/>
    <w:rsid w:val="5EF219DC"/>
    <w:rsid w:val="5F803BC2"/>
    <w:rsid w:val="60D66DA9"/>
    <w:rsid w:val="621F0077"/>
    <w:rsid w:val="633D721D"/>
    <w:rsid w:val="65A37EE3"/>
    <w:rsid w:val="673E141B"/>
    <w:rsid w:val="67A80813"/>
    <w:rsid w:val="67EE31DB"/>
    <w:rsid w:val="68957A25"/>
    <w:rsid w:val="69B73D95"/>
    <w:rsid w:val="6E88246F"/>
    <w:rsid w:val="74F10382"/>
    <w:rsid w:val="765D2ED5"/>
    <w:rsid w:val="76997769"/>
    <w:rsid w:val="7D453F49"/>
    <w:rsid w:val="7F873D3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3">
    <w:name w:val="heading 1"/>
    <w:basedOn w:val="4"/>
    <w:next w:val="1"/>
    <w:link w:val="52"/>
    <w:qFormat/>
    <w:uiPriority w:val="9"/>
    <w:pPr>
      <w:keepNext/>
      <w:keepLines/>
      <w:outlineLvl w:val="0"/>
    </w:pPr>
    <w:rPr>
      <w:b/>
      <w:bCs/>
      <w:kern w:val="44"/>
      <w:sz w:val="52"/>
      <w:szCs w:val="44"/>
    </w:rPr>
  </w:style>
  <w:style w:type="paragraph" w:styleId="6">
    <w:name w:val="heading 2"/>
    <w:basedOn w:val="1"/>
    <w:next w:val="1"/>
    <w:link w:val="53"/>
    <w:qFormat/>
    <w:uiPriority w:val="9"/>
    <w:pPr>
      <w:keepNext/>
      <w:keepLines/>
      <w:jc w:val="center"/>
      <w:outlineLvl w:val="1"/>
    </w:pPr>
    <w:rPr>
      <w:rFonts w:ascii="Cambria" w:hAnsi="Cambria" w:eastAsia="宋体"/>
      <w:b/>
      <w:bCs/>
      <w:sz w:val="32"/>
      <w:szCs w:val="32"/>
    </w:rPr>
  </w:style>
  <w:style w:type="paragraph" w:styleId="7">
    <w:name w:val="heading 3"/>
    <w:basedOn w:val="1"/>
    <w:next w:val="1"/>
    <w:link w:val="54"/>
    <w:qFormat/>
    <w:uiPriority w:val="0"/>
    <w:pPr>
      <w:keepNext/>
      <w:keepLines/>
      <w:spacing w:line="360" w:lineRule="auto"/>
      <w:outlineLvl w:val="2"/>
    </w:pPr>
    <w:rPr>
      <w:b/>
      <w:bCs/>
      <w:szCs w:val="32"/>
    </w:rPr>
  </w:style>
  <w:style w:type="paragraph" w:styleId="8">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0">
    <w:name w:val="heading 6"/>
    <w:basedOn w:val="1"/>
    <w:next w:val="1"/>
    <w:qFormat/>
    <w:uiPriority w:val="0"/>
    <w:pPr>
      <w:keepNext/>
      <w:keepLines/>
      <w:widowControl/>
      <w:tabs>
        <w:tab w:val="left" w:pos="1440"/>
      </w:tabs>
      <w:spacing w:line="320" w:lineRule="auto"/>
      <w:ind w:left="1152" w:hanging="1152"/>
      <w:jc w:val="center"/>
      <w:outlineLvl w:val="5"/>
    </w:pPr>
    <w:rPr>
      <w:rFonts w:ascii="Arial" w:hAnsi="Arial" w:eastAsia="黑体"/>
      <w:b/>
      <w:bCs/>
      <w:sz w:val="28"/>
    </w:rPr>
  </w:style>
  <w:style w:type="character" w:default="1" w:styleId="33">
    <w:name w:val="Default Paragraph Font"/>
    <w:qFormat/>
    <w:uiPriority w:val="1"/>
  </w:style>
  <w:style w:type="table" w:default="1" w:styleId="31">
    <w:name w:val="Normal Table"/>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 w:type="paragraph" w:styleId="4">
    <w:name w:val="Body Text First Indent"/>
    <w:basedOn w:val="5"/>
    <w:qFormat/>
    <w:uiPriority w:val="0"/>
    <w:pPr>
      <w:ind w:firstLine="420" w:firstLineChars="100"/>
    </w:pPr>
    <w:rPr>
      <w:szCs w:val="24"/>
    </w:rPr>
  </w:style>
  <w:style w:type="paragraph" w:styleId="5">
    <w:name w:val="Body Text"/>
    <w:basedOn w:val="1"/>
    <w:next w:val="1"/>
    <w:link w:val="59"/>
    <w:qFormat/>
    <w:uiPriority w:val="99"/>
    <w:pPr>
      <w:spacing w:after="120"/>
    </w:pPr>
    <w:rPr>
      <w:sz w:val="21"/>
    </w:rPr>
  </w:style>
  <w:style w:type="paragraph" w:styleId="11">
    <w:name w:val="Normal Indent"/>
    <w:basedOn w:val="1"/>
    <w:next w:val="1"/>
    <w:link w:val="56"/>
    <w:qFormat/>
    <w:uiPriority w:val="0"/>
    <w:pPr>
      <w:spacing w:line="360" w:lineRule="auto"/>
      <w:ind w:firstLine="200" w:firstLineChars="200"/>
    </w:pPr>
    <w:rPr>
      <w:szCs w:val="20"/>
    </w:rPr>
  </w:style>
  <w:style w:type="paragraph" w:styleId="12">
    <w:name w:val="caption"/>
    <w:basedOn w:val="1"/>
    <w:next w:val="1"/>
    <w:qFormat/>
    <w:uiPriority w:val="0"/>
    <w:rPr>
      <w:rFonts w:ascii="Cambria" w:hAnsi="Cambria" w:eastAsia="黑体"/>
      <w:sz w:val="20"/>
      <w:szCs w:val="20"/>
    </w:rPr>
  </w:style>
  <w:style w:type="paragraph" w:styleId="13">
    <w:name w:val="Document Map"/>
    <w:basedOn w:val="1"/>
    <w:qFormat/>
    <w:uiPriority w:val="0"/>
    <w:pPr>
      <w:shd w:val="clear" w:color="auto" w:fill="000080"/>
    </w:pPr>
  </w:style>
  <w:style w:type="paragraph" w:styleId="14">
    <w:name w:val="annotation text"/>
    <w:basedOn w:val="1"/>
    <w:link w:val="57"/>
    <w:qFormat/>
    <w:uiPriority w:val="0"/>
    <w:pPr>
      <w:jc w:val="left"/>
    </w:pPr>
  </w:style>
  <w:style w:type="paragraph" w:styleId="15">
    <w:name w:val="Body Text 3"/>
    <w:basedOn w:val="1"/>
    <w:link w:val="58"/>
    <w:qFormat/>
    <w:uiPriority w:val="99"/>
    <w:pPr>
      <w:spacing w:after="120"/>
    </w:pPr>
    <w:rPr>
      <w:sz w:val="16"/>
      <w:szCs w:val="16"/>
    </w:rPr>
  </w:style>
  <w:style w:type="paragraph" w:styleId="16">
    <w:name w:val="toc 5"/>
    <w:basedOn w:val="1"/>
    <w:next w:val="1"/>
    <w:qFormat/>
    <w:uiPriority w:val="39"/>
    <w:pPr>
      <w:ind w:left="1680" w:leftChars="800"/>
    </w:pPr>
  </w:style>
  <w:style w:type="paragraph" w:styleId="17">
    <w:name w:val="toc 3"/>
    <w:basedOn w:val="1"/>
    <w:next w:val="1"/>
    <w:qFormat/>
    <w:uiPriority w:val="39"/>
    <w:pPr>
      <w:ind w:left="840" w:leftChars="400"/>
    </w:pPr>
  </w:style>
  <w:style w:type="paragraph" w:styleId="18">
    <w:name w:val="Plain Text"/>
    <w:basedOn w:val="1"/>
    <w:link w:val="60"/>
    <w:qFormat/>
    <w:uiPriority w:val="0"/>
    <w:rPr>
      <w:rFonts w:ascii="宋体" w:hAnsi="Courier New"/>
      <w:sz w:val="21"/>
      <w:szCs w:val="21"/>
    </w:rPr>
  </w:style>
  <w:style w:type="paragraph" w:styleId="19">
    <w:name w:val="Body Text Indent 2"/>
    <w:basedOn w:val="1"/>
    <w:link w:val="61"/>
    <w:qFormat/>
    <w:uiPriority w:val="99"/>
    <w:pPr>
      <w:spacing w:after="120" w:line="480" w:lineRule="auto"/>
      <w:ind w:left="420" w:leftChars="200"/>
    </w:pPr>
  </w:style>
  <w:style w:type="paragraph" w:styleId="20">
    <w:name w:val="Balloon Text"/>
    <w:basedOn w:val="1"/>
    <w:link w:val="62"/>
    <w:qFormat/>
    <w:uiPriority w:val="99"/>
    <w:rPr>
      <w:sz w:val="18"/>
      <w:szCs w:val="18"/>
    </w:rPr>
  </w:style>
  <w:style w:type="paragraph" w:styleId="21">
    <w:name w:val="footer"/>
    <w:basedOn w:val="1"/>
    <w:link w:val="63"/>
    <w:qFormat/>
    <w:uiPriority w:val="99"/>
    <w:pPr>
      <w:tabs>
        <w:tab w:val="center" w:pos="4153"/>
        <w:tab w:val="right" w:pos="8306"/>
      </w:tabs>
      <w:snapToGrid w:val="0"/>
      <w:jc w:val="left"/>
    </w:pPr>
    <w:rPr>
      <w:kern w:val="0"/>
      <w:sz w:val="18"/>
      <w:szCs w:val="18"/>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39"/>
    <w:pPr>
      <w:tabs>
        <w:tab w:val="right" w:leader="dot" w:pos="9288"/>
      </w:tabs>
    </w:pPr>
    <w:rPr>
      <w:b/>
    </w:rPr>
  </w:style>
  <w:style w:type="paragraph" w:styleId="24">
    <w:name w:val="index heading"/>
    <w:basedOn w:val="1"/>
    <w:next w:val="25"/>
    <w:qFormat/>
    <w:uiPriority w:val="0"/>
    <w:rPr>
      <w:sz w:val="21"/>
      <w:szCs w:val="20"/>
    </w:rPr>
  </w:style>
  <w:style w:type="paragraph" w:styleId="25">
    <w:name w:val="index 1"/>
    <w:basedOn w:val="1"/>
    <w:next w:val="1"/>
    <w:qFormat/>
    <w:uiPriority w:val="99"/>
  </w:style>
  <w:style w:type="paragraph" w:styleId="26">
    <w:name w:val="Body Text Indent 3"/>
    <w:basedOn w:val="1"/>
    <w:link w:val="65"/>
    <w:qFormat/>
    <w:uiPriority w:val="0"/>
    <w:pPr>
      <w:spacing w:line="360" w:lineRule="auto"/>
      <w:ind w:firstLine="480"/>
    </w:pPr>
    <w:rPr>
      <w:szCs w:val="24"/>
    </w:rPr>
  </w:style>
  <w:style w:type="paragraph" w:styleId="27">
    <w:name w:val="toc 2"/>
    <w:basedOn w:val="1"/>
    <w:next w:val="1"/>
    <w:qFormat/>
    <w:uiPriority w:val="39"/>
    <w:pPr>
      <w:ind w:left="420" w:leftChars="200"/>
    </w:pPr>
  </w:style>
  <w:style w:type="paragraph" w:styleId="28">
    <w:name w:val="Body Text 2"/>
    <w:basedOn w:val="1"/>
    <w:qFormat/>
    <w:uiPriority w:val="0"/>
    <w:pPr>
      <w:autoSpaceDE w:val="0"/>
      <w:autoSpaceDN w:val="0"/>
      <w:adjustRightInd w:val="0"/>
      <w:jc w:val="center"/>
    </w:pPr>
    <w:rPr>
      <w:rFonts w:ascii="宋体" w:hAnsi="Times New Roman" w:eastAsia="宋体" w:cs="Times New Roman"/>
      <w:lang w:val="zh-CN"/>
    </w:rPr>
  </w:style>
  <w:style w:type="paragraph" w:styleId="29">
    <w:name w:val="Normal (Web)"/>
    <w:basedOn w:val="1"/>
    <w:qFormat/>
    <w:uiPriority w:val="0"/>
    <w:pPr>
      <w:widowControl/>
      <w:spacing w:before="100" w:beforeAutospacing="1" w:after="100" w:afterAutospacing="1"/>
      <w:jc w:val="left"/>
    </w:pPr>
    <w:rPr>
      <w:rFonts w:ascii="宋体" w:hAnsi="宋体"/>
      <w:color w:val="000000"/>
      <w:kern w:val="0"/>
      <w:szCs w:val="24"/>
    </w:rPr>
  </w:style>
  <w:style w:type="paragraph" w:styleId="30">
    <w:name w:val="annotation subject"/>
    <w:basedOn w:val="14"/>
    <w:next w:val="14"/>
    <w:link w:val="66"/>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rFonts w:ascii="Tahoma" w:hAnsi="Tahoma" w:eastAsia="宋体"/>
      <w:b/>
      <w:bCs/>
      <w:spacing w:val="10"/>
      <w:sz w:val="24"/>
      <w:lang w:val="en-US" w:eastAsia="zh-CN" w:bidi="ar-SA"/>
    </w:rPr>
  </w:style>
  <w:style w:type="character" w:styleId="35">
    <w:name w:val="page number"/>
    <w:basedOn w:val="33"/>
    <w:qFormat/>
    <w:uiPriority w:val="0"/>
  </w:style>
  <w:style w:type="character" w:styleId="36">
    <w:name w:val="FollowedHyperlink"/>
    <w:qFormat/>
    <w:uiPriority w:val="99"/>
    <w:rPr>
      <w:rFonts w:hint="eastAsia" w:ascii="黑体" w:hAnsi="宋体" w:eastAsia="黑体" w:cs="黑体"/>
      <w:color w:val="000000"/>
      <w:u w:val="none"/>
    </w:rPr>
  </w:style>
  <w:style w:type="character" w:styleId="37">
    <w:name w:val="Emphasis"/>
    <w:basedOn w:val="33"/>
    <w:qFormat/>
    <w:uiPriority w:val="20"/>
  </w:style>
  <w:style w:type="character" w:styleId="38">
    <w:name w:val="HTML Definition"/>
    <w:basedOn w:val="33"/>
    <w:qFormat/>
    <w:uiPriority w:val="99"/>
  </w:style>
  <w:style w:type="character" w:styleId="39">
    <w:name w:val="HTML Variable"/>
    <w:basedOn w:val="33"/>
    <w:qFormat/>
    <w:uiPriority w:val="99"/>
  </w:style>
  <w:style w:type="character" w:styleId="40">
    <w:name w:val="Hyperlink"/>
    <w:qFormat/>
    <w:uiPriority w:val="99"/>
    <w:rPr>
      <w:rFonts w:ascii="黑体" w:hAnsi="宋体" w:eastAsia="黑体" w:cs="黑体"/>
      <w:color w:val="000000"/>
      <w:u w:val="none"/>
    </w:rPr>
  </w:style>
  <w:style w:type="character" w:styleId="41">
    <w:name w:val="HTML Code"/>
    <w:basedOn w:val="33"/>
    <w:qFormat/>
    <w:uiPriority w:val="99"/>
    <w:rPr>
      <w:rFonts w:hint="default" w:ascii="serif" w:hAnsi="serif" w:eastAsia="serif" w:cs="serif"/>
      <w:sz w:val="21"/>
      <w:szCs w:val="21"/>
    </w:rPr>
  </w:style>
  <w:style w:type="character" w:styleId="42">
    <w:name w:val="annotation reference"/>
    <w:basedOn w:val="33"/>
    <w:qFormat/>
    <w:uiPriority w:val="0"/>
    <w:rPr>
      <w:sz w:val="21"/>
      <w:szCs w:val="21"/>
    </w:rPr>
  </w:style>
  <w:style w:type="character" w:styleId="43">
    <w:name w:val="HTML Cite"/>
    <w:basedOn w:val="33"/>
    <w:qFormat/>
    <w:uiPriority w:val="99"/>
  </w:style>
  <w:style w:type="character" w:styleId="44">
    <w:name w:val="HTML Keyboard"/>
    <w:basedOn w:val="33"/>
    <w:qFormat/>
    <w:uiPriority w:val="99"/>
    <w:rPr>
      <w:rFonts w:ascii="serif" w:hAnsi="serif" w:eastAsia="serif" w:cs="serif"/>
      <w:vanish/>
      <w:sz w:val="21"/>
      <w:szCs w:val="21"/>
      <w:shd w:val="clear" w:color="auto" w:fill="459DF5"/>
    </w:rPr>
  </w:style>
  <w:style w:type="character" w:styleId="45">
    <w:name w:val="HTML Sample"/>
    <w:basedOn w:val="33"/>
    <w:qFormat/>
    <w:uiPriority w:val="99"/>
    <w:rPr>
      <w:rFonts w:hint="default" w:ascii="serif" w:hAnsi="serif" w:eastAsia="serif" w:cs="serif"/>
      <w:sz w:val="21"/>
      <w:szCs w:val="21"/>
    </w:rPr>
  </w:style>
  <w:style w:type="paragraph" w:customStyle="1" w:styleId="46">
    <w:name w:val="Normal Indent1"/>
    <w:basedOn w:val="1"/>
    <w:qFormat/>
    <w:uiPriority w:val="0"/>
    <w:pPr>
      <w:widowControl/>
      <w:ind w:firstLine="420" w:firstLineChars="200"/>
      <w:jc w:val="left"/>
    </w:pPr>
    <w:rPr>
      <w:rFonts w:eastAsia="宋体"/>
      <w:lang w:val="en-US" w:eastAsia="zh-CN"/>
    </w:rPr>
  </w:style>
  <w:style w:type="paragraph" w:customStyle="1" w:styleId="47">
    <w:name w:val="表格文字"/>
    <w:basedOn w:val="48"/>
    <w:next w:val="5"/>
    <w:qFormat/>
    <w:uiPriority w:val="0"/>
    <w:pPr>
      <w:spacing w:before="25" w:after="25"/>
      <w:jc w:val="left"/>
    </w:pPr>
    <w:rPr>
      <w:bCs/>
      <w:spacing w:val="10"/>
      <w:kern w:val="0"/>
      <w:szCs w:val="20"/>
    </w:rPr>
  </w:style>
  <w:style w:type="paragraph" w:customStyle="1" w:styleId="4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首行缩进"/>
    <w:basedOn w:val="1"/>
    <w:qFormat/>
    <w:uiPriority w:val="0"/>
    <w:pPr>
      <w:adjustRightInd w:val="0"/>
      <w:ind w:firstLine="437"/>
      <w:jc w:val="left"/>
    </w:pPr>
    <w:rPr>
      <w:rFonts w:hint="eastAsia" w:ascii="宋体" w:hAnsi="宋体"/>
      <w:kern w:val="0"/>
      <w:szCs w:val="21"/>
    </w:rPr>
  </w:style>
  <w:style w:type="paragraph" w:customStyle="1" w:styleId="50">
    <w:name w:val="样式 行距: 1.5 倍行距 首行缩进:  2 字符"/>
    <w:basedOn w:val="1"/>
    <w:qFormat/>
    <w:uiPriority w:val="0"/>
    <w:pPr>
      <w:adjustRightInd w:val="0"/>
      <w:snapToGrid w:val="0"/>
      <w:spacing w:line="460" w:lineRule="exact"/>
    </w:pPr>
  </w:style>
  <w:style w:type="paragraph" w:customStyle="1" w:styleId="51">
    <w:name w:val="文本块1"/>
    <w:basedOn w:val="1"/>
    <w:qFormat/>
    <w:uiPriority w:val="0"/>
    <w:pPr>
      <w:ind w:left="1440" w:leftChars="700" w:right="1440" w:rightChars="700"/>
    </w:pPr>
  </w:style>
  <w:style w:type="character" w:customStyle="1" w:styleId="52">
    <w:name w:val="标题 1 字符"/>
    <w:link w:val="3"/>
    <w:qFormat/>
    <w:uiPriority w:val="9"/>
    <w:rPr>
      <w:b/>
      <w:bCs/>
      <w:kern w:val="44"/>
      <w:sz w:val="52"/>
      <w:szCs w:val="44"/>
    </w:rPr>
  </w:style>
  <w:style w:type="character" w:customStyle="1" w:styleId="53">
    <w:name w:val="标题 2 字符"/>
    <w:link w:val="6"/>
    <w:qFormat/>
    <w:uiPriority w:val="9"/>
    <w:rPr>
      <w:rFonts w:ascii="Cambria" w:hAnsi="Cambria" w:eastAsia="宋体" w:cs="Times New Roman"/>
      <w:b/>
      <w:bCs/>
      <w:kern w:val="2"/>
      <w:sz w:val="32"/>
      <w:szCs w:val="32"/>
    </w:rPr>
  </w:style>
  <w:style w:type="character" w:customStyle="1" w:styleId="54">
    <w:name w:val="标题 3 字符"/>
    <w:link w:val="7"/>
    <w:qFormat/>
    <w:uiPriority w:val="0"/>
    <w:rPr>
      <w:rFonts w:ascii="Times New Roman" w:hAnsi="Times New Roman"/>
      <w:b/>
      <w:bCs/>
      <w:kern w:val="2"/>
      <w:sz w:val="24"/>
      <w:szCs w:val="32"/>
    </w:rPr>
  </w:style>
  <w:style w:type="character" w:customStyle="1" w:styleId="55">
    <w:name w:val="标题 4 字符"/>
    <w:link w:val="8"/>
    <w:qFormat/>
    <w:uiPriority w:val="9"/>
    <w:rPr>
      <w:rFonts w:ascii="Cambria" w:hAnsi="Cambria" w:eastAsia="宋体" w:cs="Times New Roman"/>
      <w:b/>
      <w:bCs/>
      <w:kern w:val="2"/>
      <w:sz w:val="28"/>
      <w:szCs w:val="28"/>
    </w:rPr>
  </w:style>
  <w:style w:type="character" w:customStyle="1" w:styleId="56">
    <w:name w:val="正文缩进 字符"/>
    <w:link w:val="11"/>
    <w:qFormat/>
    <w:uiPriority w:val="0"/>
    <w:rPr>
      <w:kern w:val="2"/>
      <w:sz w:val="24"/>
    </w:rPr>
  </w:style>
  <w:style w:type="character" w:customStyle="1" w:styleId="57">
    <w:name w:val="批注文字 字符"/>
    <w:link w:val="14"/>
    <w:qFormat/>
    <w:uiPriority w:val="0"/>
    <w:rPr>
      <w:kern w:val="2"/>
      <w:sz w:val="24"/>
      <w:szCs w:val="22"/>
    </w:rPr>
  </w:style>
  <w:style w:type="character" w:customStyle="1" w:styleId="58">
    <w:name w:val="正文文本 3 字符"/>
    <w:link w:val="15"/>
    <w:qFormat/>
    <w:uiPriority w:val="99"/>
    <w:rPr>
      <w:kern w:val="2"/>
      <w:sz w:val="16"/>
      <w:szCs w:val="16"/>
    </w:rPr>
  </w:style>
  <w:style w:type="character" w:customStyle="1" w:styleId="59">
    <w:name w:val="正文文本 字符"/>
    <w:link w:val="5"/>
    <w:qFormat/>
    <w:uiPriority w:val="99"/>
    <w:rPr>
      <w:kern w:val="2"/>
      <w:sz w:val="21"/>
      <w:szCs w:val="22"/>
    </w:rPr>
  </w:style>
  <w:style w:type="character" w:customStyle="1" w:styleId="60">
    <w:name w:val="纯文本 字符"/>
    <w:link w:val="18"/>
    <w:qFormat/>
    <w:uiPriority w:val="0"/>
    <w:rPr>
      <w:rFonts w:ascii="宋体" w:hAnsi="Courier New" w:cs="Courier New"/>
      <w:kern w:val="2"/>
      <w:sz w:val="21"/>
      <w:szCs w:val="21"/>
    </w:rPr>
  </w:style>
  <w:style w:type="character" w:customStyle="1" w:styleId="61">
    <w:name w:val="正文文本缩进 2 字符"/>
    <w:link w:val="19"/>
    <w:qFormat/>
    <w:uiPriority w:val="99"/>
    <w:rPr>
      <w:kern w:val="2"/>
      <w:sz w:val="24"/>
      <w:szCs w:val="22"/>
    </w:rPr>
  </w:style>
  <w:style w:type="character" w:customStyle="1" w:styleId="62">
    <w:name w:val="批注框文本 字符"/>
    <w:link w:val="20"/>
    <w:qFormat/>
    <w:uiPriority w:val="99"/>
    <w:rPr>
      <w:kern w:val="2"/>
      <w:sz w:val="18"/>
      <w:szCs w:val="18"/>
    </w:rPr>
  </w:style>
  <w:style w:type="character" w:customStyle="1" w:styleId="63">
    <w:name w:val="页脚 字符"/>
    <w:link w:val="21"/>
    <w:qFormat/>
    <w:uiPriority w:val="99"/>
    <w:rPr>
      <w:sz w:val="18"/>
      <w:szCs w:val="18"/>
    </w:rPr>
  </w:style>
  <w:style w:type="character" w:customStyle="1" w:styleId="64">
    <w:name w:val="页眉 字符"/>
    <w:link w:val="22"/>
    <w:qFormat/>
    <w:uiPriority w:val="99"/>
    <w:rPr>
      <w:sz w:val="18"/>
      <w:szCs w:val="18"/>
    </w:rPr>
  </w:style>
  <w:style w:type="character" w:customStyle="1" w:styleId="65">
    <w:name w:val="正文文本缩进 3 字符"/>
    <w:link w:val="26"/>
    <w:qFormat/>
    <w:uiPriority w:val="0"/>
    <w:rPr>
      <w:rFonts w:ascii="Times New Roman" w:hAnsi="Times New Roman"/>
      <w:kern w:val="2"/>
      <w:sz w:val="24"/>
      <w:szCs w:val="24"/>
    </w:rPr>
  </w:style>
  <w:style w:type="character" w:customStyle="1" w:styleId="66">
    <w:name w:val="批注主题 字符"/>
    <w:link w:val="30"/>
    <w:qFormat/>
    <w:uiPriority w:val="99"/>
    <w:rPr>
      <w:b/>
      <w:bCs/>
      <w:kern w:val="2"/>
      <w:sz w:val="24"/>
      <w:szCs w:val="22"/>
    </w:rPr>
  </w:style>
  <w:style w:type="character" w:customStyle="1" w:styleId="67">
    <w:name w:val="cfdate"/>
    <w:basedOn w:val="33"/>
    <w:qFormat/>
    <w:uiPriority w:val="0"/>
    <w:rPr>
      <w:color w:val="333333"/>
      <w:sz w:val="18"/>
      <w:szCs w:val="18"/>
    </w:rPr>
  </w:style>
  <w:style w:type="character" w:customStyle="1" w:styleId="68">
    <w:name w:val="彩色列表字符"/>
    <w:link w:val="69"/>
    <w:qFormat/>
    <w:uiPriority w:val="99"/>
    <w:rPr>
      <w:kern w:val="2"/>
      <w:sz w:val="24"/>
      <w:szCs w:val="22"/>
    </w:rPr>
  </w:style>
  <w:style w:type="paragraph" w:customStyle="1" w:styleId="69">
    <w:name w:val="彩色列表1"/>
    <w:basedOn w:val="1"/>
    <w:link w:val="68"/>
    <w:qFormat/>
    <w:uiPriority w:val="99"/>
    <w:pPr>
      <w:ind w:firstLine="420" w:firstLineChars="200"/>
    </w:pPr>
  </w:style>
  <w:style w:type="character" w:customStyle="1" w:styleId="70">
    <w:name w:val="fontstrikethrough"/>
    <w:basedOn w:val="33"/>
    <w:qFormat/>
    <w:uiPriority w:val="0"/>
    <w:rPr>
      <w:strike/>
    </w:rPr>
  </w:style>
  <w:style w:type="character" w:customStyle="1" w:styleId="71">
    <w:name w:val="displayarti"/>
    <w:basedOn w:val="33"/>
    <w:qFormat/>
    <w:uiPriority w:val="0"/>
    <w:rPr>
      <w:color w:val="FFFFFF"/>
      <w:shd w:val="clear" w:color="auto" w:fill="A00000"/>
    </w:rPr>
  </w:style>
  <w:style w:type="character" w:customStyle="1" w:styleId="72">
    <w:name w:val="redfilefwwh"/>
    <w:basedOn w:val="33"/>
    <w:qFormat/>
    <w:uiPriority w:val="0"/>
    <w:rPr>
      <w:color w:val="BA2636"/>
      <w:sz w:val="18"/>
      <w:szCs w:val="18"/>
    </w:rPr>
  </w:style>
  <w:style w:type="character" w:customStyle="1" w:styleId="73">
    <w:name w:val="纯文本 Char"/>
    <w:qFormat/>
    <w:uiPriority w:val="99"/>
    <w:rPr>
      <w:rFonts w:ascii="宋体" w:hAnsi="Courier New" w:cs="Courier New"/>
      <w:kern w:val="2"/>
      <w:sz w:val="21"/>
      <w:szCs w:val="21"/>
    </w:rPr>
  </w:style>
  <w:style w:type="character" w:customStyle="1" w:styleId="74">
    <w:name w:val="redfilenumber"/>
    <w:basedOn w:val="33"/>
    <w:qFormat/>
    <w:uiPriority w:val="0"/>
    <w:rPr>
      <w:color w:val="BA2636"/>
      <w:sz w:val="18"/>
      <w:szCs w:val="18"/>
    </w:rPr>
  </w:style>
  <w:style w:type="character" w:customStyle="1" w:styleId="75">
    <w:name w:val="图 Char Char"/>
    <w:link w:val="76"/>
    <w:qFormat/>
    <w:uiPriority w:val="0"/>
    <w:rPr>
      <w:rFonts w:ascii="Times New Roman" w:hAnsi="Times New Roman"/>
      <w:spacing w:val="20"/>
      <w:sz w:val="24"/>
      <w:lang w:val="en-US" w:eastAsia="zh-CN"/>
    </w:rPr>
  </w:style>
  <w:style w:type="paragraph" w:customStyle="1" w:styleId="76">
    <w:name w:val="图"/>
    <w:basedOn w:val="1"/>
    <w:link w:val="75"/>
    <w:qFormat/>
    <w:uiPriority w:val="0"/>
    <w:pPr>
      <w:keepNext/>
      <w:adjustRightInd w:val="0"/>
      <w:spacing w:before="60" w:after="60" w:line="300" w:lineRule="auto"/>
      <w:jc w:val="center"/>
      <w:textAlignment w:val="center"/>
    </w:pPr>
    <w:rPr>
      <w:spacing w:val="20"/>
      <w:kern w:val="0"/>
      <w:szCs w:val="20"/>
    </w:rPr>
  </w:style>
  <w:style w:type="character" w:customStyle="1" w:styleId="77">
    <w:name w:val="fontstyle01"/>
    <w:basedOn w:val="33"/>
    <w:qFormat/>
    <w:uiPriority w:val="0"/>
    <w:rPr>
      <w:rFonts w:ascii="宋体" w:hAnsi="宋体" w:eastAsia="宋体" w:cs="宋体"/>
      <w:color w:val="000000"/>
      <w:sz w:val="22"/>
      <w:szCs w:val="22"/>
    </w:rPr>
  </w:style>
  <w:style w:type="character" w:customStyle="1" w:styleId="78">
    <w:name w:val="fontborder"/>
    <w:basedOn w:val="33"/>
    <w:qFormat/>
    <w:uiPriority w:val="0"/>
    <w:rPr>
      <w:bdr w:val="single" w:color="000000" w:sz="6" w:space="0"/>
    </w:rPr>
  </w:style>
  <w:style w:type="character" w:customStyle="1" w:styleId="79">
    <w:name w:val="批注文字 Char1"/>
    <w:basedOn w:val="33"/>
    <w:qFormat/>
    <w:uiPriority w:val="0"/>
    <w:rPr>
      <w:kern w:val="2"/>
      <w:sz w:val="24"/>
    </w:rPr>
  </w:style>
  <w:style w:type="character" w:customStyle="1" w:styleId="80">
    <w:name w:val="Font Style17"/>
    <w:qFormat/>
    <w:uiPriority w:val="0"/>
    <w:rPr>
      <w:rFonts w:ascii="黑体" w:eastAsia="黑体" w:cs="黑体"/>
      <w:sz w:val="28"/>
      <w:szCs w:val="28"/>
    </w:rPr>
  </w:style>
  <w:style w:type="character" w:customStyle="1" w:styleId="81">
    <w:name w:val="图 Char"/>
    <w:qFormat/>
    <w:uiPriority w:val="0"/>
    <w:rPr>
      <w:spacing w:val="20"/>
      <w:sz w:val="24"/>
      <w:lang w:val="en-US" w:eastAsia="zh-CN"/>
    </w:rPr>
  </w:style>
  <w:style w:type="character" w:customStyle="1" w:styleId="82">
    <w:name w:val="正文缩进 Char_0"/>
    <w:link w:val="83"/>
    <w:qFormat/>
    <w:uiPriority w:val="0"/>
    <w:rPr>
      <w:sz w:val="24"/>
    </w:rPr>
  </w:style>
  <w:style w:type="paragraph" w:customStyle="1" w:styleId="83">
    <w:name w:val="正文缩进_0"/>
    <w:basedOn w:val="1"/>
    <w:link w:val="82"/>
    <w:qFormat/>
    <w:uiPriority w:val="0"/>
    <w:pPr>
      <w:autoSpaceDE w:val="0"/>
      <w:autoSpaceDN w:val="0"/>
      <w:spacing w:line="360" w:lineRule="auto"/>
      <w:ind w:left="181" w:firstLine="420"/>
    </w:pPr>
    <w:rPr>
      <w:kern w:val="0"/>
      <w:szCs w:val="20"/>
    </w:rPr>
  </w:style>
  <w:style w:type="character" w:customStyle="1" w:styleId="84">
    <w:name w:val="gjfg"/>
    <w:basedOn w:val="33"/>
    <w:qFormat/>
    <w:uiPriority w:val="0"/>
  </w:style>
  <w:style w:type="character" w:customStyle="1" w:styleId="85">
    <w:name w:val="qxdate"/>
    <w:basedOn w:val="33"/>
    <w:qFormat/>
    <w:uiPriority w:val="0"/>
    <w:rPr>
      <w:color w:val="333333"/>
      <w:sz w:val="18"/>
      <w:szCs w:val="18"/>
    </w:rPr>
  </w:style>
  <w:style w:type="paragraph" w:customStyle="1" w:styleId="86">
    <w:name w:val="Char Char5"/>
    <w:basedOn w:val="1"/>
    <w:qFormat/>
    <w:uiPriority w:val="0"/>
    <w:pPr>
      <w:widowControl/>
      <w:spacing w:after="160" w:line="240" w:lineRule="exact"/>
      <w:jc w:val="left"/>
    </w:pPr>
    <w:rPr>
      <w:sz w:val="21"/>
      <w:szCs w:val="24"/>
    </w:rPr>
  </w:style>
  <w:style w:type="paragraph" w:customStyle="1" w:styleId="87">
    <w:name w:val="Other|1"/>
    <w:basedOn w:val="1"/>
    <w:qFormat/>
    <w:uiPriority w:val="0"/>
    <w:pPr>
      <w:spacing w:line="480" w:lineRule="auto"/>
      <w:jc w:val="left"/>
    </w:pPr>
    <w:rPr>
      <w:rFonts w:ascii="宋体" w:hAnsi="宋体" w:cs="宋体"/>
      <w:b/>
      <w:bCs/>
      <w:color w:val="000000"/>
      <w:kern w:val="0"/>
      <w:sz w:val="20"/>
      <w:szCs w:val="20"/>
      <w:lang w:val="zh-TW" w:eastAsia="zh-TW" w:bidi="zh-TW"/>
    </w:rPr>
  </w:style>
  <w:style w:type="paragraph" w:customStyle="1" w:styleId="88">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 Char Char Char Char"/>
    <w:basedOn w:val="1"/>
    <w:qFormat/>
    <w:uiPriority w:val="0"/>
    <w:pPr>
      <w:widowControl/>
      <w:spacing w:after="160" w:line="240" w:lineRule="exact"/>
      <w:jc w:val="center"/>
    </w:pPr>
    <w:rPr>
      <w:sz w:val="21"/>
      <w:szCs w:val="24"/>
    </w:rPr>
  </w:style>
  <w:style w:type="paragraph" w:customStyle="1" w:styleId="90">
    <w:name w:val="题注4"/>
    <w:basedOn w:val="1"/>
    <w:next w:val="12"/>
    <w:qFormat/>
    <w:uiPriority w:val="99"/>
    <w:pPr>
      <w:ind w:left="-40" w:leftChars="-41" w:right="-107" w:rightChars="-51" w:hanging="46"/>
      <w:jc w:val="center"/>
    </w:pPr>
    <w:rPr>
      <w:b/>
      <w:color w:val="000000"/>
      <w:sz w:val="18"/>
      <w:szCs w:val="21"/>
      <w:lang w:val="en-GB"/>
    </w:rPr>
  </w:style>
  <w:style w:type="paragraph" w:customStyle="1" w:styleId="91">
    <w:name w:val="Normal_33"/>
    <w:qFormat/>
    <w:uiPriority w:val="0"/>
    <w:rPr>
      <w:rFonts w:ascii="Times New Roman" w:hAnsi="Times New Roman" w:eastAsia="Times New Roman" w:cs="Times New Roman"/>
      <w:sz w:val="24"/>
      <w:szCs w:val="24"/>
      <w:lang w:val="en-US" w:eastAsia="zh-CN" w:bidi="ar-SA"/>
    </w:rPr>
  </w:style>
  <w:style w:type="paragraph" w:customStyle="1" w:styleId="92">
    <w:name w:val="列出段落1"/>
    <w:basedOn w:val="1"/>
    <w:qFormat/>
    <w:uiPriority w:val="0"/>
    <w:pPr>
      <w:ind w:firstLine="420" w:firstLineChars="200"/>
    </w:pPr>
  </w:style>
  <w:style w:type="paragraph" w:customStyle="1" w:styleId="93">
    <w:name w:val="正文1_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4">
    <w:name w:val="列出段落1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正文_0_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97">
    <w:name w:val="￥正文"/>
    <w:basedOn w:val="1"/>
    <w:qFormat/>
    <w:uiPriority w:val="0"/>
    <w:pPr>
      <w:snapToGrid w:val="0"/>
      <w:spacing w:before="60" w:after="60" w:line="360" w:lineRule="auto"/>
      <w:ind w:firstLine="200" w:firstLineChars="200"/>
    </w:pPr>
    <w:rPr>
      <w:rFonts w:ascii="Calibri" w:hAnsi="Calibri"/>
      <w:color w:val="000000"/>
      <w:kern w:val="0"/>
      <w:szCs w:val="20"/>
    </w:rPr>
  </w:style>
  <w:style w:type="paragraph" w:customStyle="1" w:styleId="98">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标题 2_0"/>
    <w:basedOn w:val="98"/>
    <w:next w:val="98"/>
    <w:qFormat/>
    <w:uiPriority w:val="0"/>
    <w:pPr>
      <w:keepNext/>
      <w:keepLines/>
      <w:spacing w:line="415" w:lineRule="auto"/>
      <w:outlineLvl w:val="1"/>
    </w:pPr>
    <w:rPr>
      <w:rFonts w:ascii="Cambria" w:hAnsi="Cambria"/>
      <w:b/>
      <w:bCs/>
      <w:kern w:val="0"/>
      <w:sz w:val="32"/>
      <w:szCs w:val="32"/>
    </w:rPr>
  </w:style>
  <w:style w:type="paragraph" w:customStyle="1" w:styleId="100">
    <w:name w:val="正文2"/>
    <w:qFormat/>
    <w:uiPriority w:val="0"/>
    <w:pPr>
      <w:widowControl w:val="0"/>
      <w:jc w:val="both"/>
    </w:pPr>
    <w:rPr>
      <w:rFonts w:ascii="Calibri" w:hAnsi="Calibri" w:eastAsia="宋体" w:cs="Times New Roman"/>
      <w:lang w:val="en-US" w:eastAsia="zh-CN" w:bidi="ar-SA"/>
    </w:rPr>
  </w:style>
  <w:style w:type="paragraph" w:customStyle="1" w:styleId="101">
    <w:name w:val="题注6"/>
    <w:basedOn w:val="1"/>
    <w:next w:val="12"/>
    <w:qFormat/>
    <w:uiPriority w:val="99"/>
    <w:pPr>
      <w:tabs>
        <w:tab w:val="left" w:pos="720"/>
      </w:tabs>
      <w:ind w:left="720"/>
    </w:pPr>
    <w:rPr>
      <w:bCs/>
      <w:color w:val="FF0000"/>
      <w:sz w:val="21"/>
      <w:szCs w:val="24"/>
      <w:lang w:val="en-GB"/>
    </w:rPr>
  </w:style>
  <w:style w:type="paragraph" w:customStyle="1" w:styleId="102">
    <w:name w:val="表头"/>
    <w:basedOn w:val="1"/>
    <w:qFormat/>
    <w:uiPriority w:val="0"/>
    <w:pPr>
      <w:adjustRightInd w:val="0"/>
      <w:spacing w:before="120" w:after="60" w:line="420" w:lineRule="atLeast"/>
      <w:textAlignment w:val="baseline"/>
    </w:pPr>
    <w:rPr>
      <w:rFonts w:ascii="黑体" w:eastAsia="黑体"/>
      <w:b/>
      <w:kern w:val="0"/>
      <w:sz w:val="21"/>
      <w:szCs w:val="20"/>
    </w:rPr>
  </w:style>
  <w:style w:type="paragraph" w:customStyle="1" w:styleId="103">
    <w:name w:val="普通(网站)_0"/>
    <w:basedOn w:val="98"/>
    <w:qFormat/>
    <w:uiPriority w:val="0"/>
    <w:pPr>
      <w:widowControl/>
      <w:spacing w:before="100" w:beforeAutospacing="1" w:after="100" w:afterAutospacing="1" w:line="283" w:lineRule="atLeast"/>
      <w:jc w:val="left"/>
    </w:pPr>
    <w:rPr>
      <w:rFonts w:ascii="宋体" w:hAnsi="宋体"/>
      <w:color w:val="000000"/>
      <w:kern w:val="0"/>
      <w:sz w:val="19"/>
    </w:rPr>
  </w:style>
  <w:style w:type="paragraph" w:customStyle="1" w:styleId="104">
    <w:name w:val="样式4"/>
    <w:basedOn w:val="1"/>
    <w:qFormat/>
    <w:uiPriority w:val="0"/>
    <w:pPr>
      <w:tabs>
        <w:tab w:val="left" w:pos="2328"/>
      </w:tabs>
      <w:ind w:left="2328" w:hanging="708"/>
    </w:pPr>
  </w:style>
  <w:style w:type="paragraph" w:customStyle="1" w:styleId="105">
    <w:name w:val="正文1"/>
    <w:qFormat/>
    <w:uiPriority w:val="0"/>
    <w:pPr>
      <w:widowControl w:val="0"/>
      <w:jc w:val="both"/>
    </w:pPr>
    <w:rPr>
      <w:rFonts w:ascii="Calibri" w:hAnsi="Calibri" w:eastAsia="宋体" w:cs="Times New Roman"/>
      <w:lang w:val="en-US" w:eastAsia="zh-CN" w:bidi="ar-SA"/>
    </w:rPr>
  </w:style>
  <w:style w:type="paragraph" w:customStyle="1" w:styleId="10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Char"/>
    <w:basedOn w:val="1"/>
    <w:qFormat/>
    <w:uiPriority w:val="0"/>
    <w:rPr>
      <w:rFonts w:ascii="Tahoma" w:hAnsi="Tahoma"/>
      <w:szCs w:val="20"/>
    </w:rPr>
  </w:style>
  <w:style w:type="paragraph" w:customStyle="1" w:styleId="108">
    <w:name w:val="_Style 14"/>
    <w:qFormat/>
    <w:uiPriority w:val="0"/>
    <w:rPr>
      <w:rFonts w:ascii="Calibri" w:hAnsi="Calibri" w:eastAsia="宋体" w:cs="Times New Roman"/>
      <w:sz w:val="22"/>
      <w:szCs w:val="22"/>
      <w:lang w:val="en-US" w:eastAsia="zh-CN" w:bidi="ar-SA"/>
    </w:rPr>
  </w:style>
  <w:style w:type="paragraph" w:customStyle="1" w:styleId="10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Default"/>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11">
    <w:name w:val="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112">
    <w:name w:val="p0"/>
    <w:basedOn w:val="1"/>
    <w:qFormat/>
    <w:uiPriority w:val="0"/>
    <w:pPr>
      <w:widowControl/>
    </w:pPr>
    <w:rPr>
      <w:kern w:val="0"/>
      <w:szCs w:val="21"/>
    </w:rPr>
  </w:style>
  <w:style w:type="paragraph" w:customStyle="1" w:styleId="113">
    <w:name w:val="列表段落1"/>
    <w:basedOn w:val="1"/>
    <w:qFormat/>
    <w:uiPriority w:val="34"/>
    <w:pPr>
      <w:ind w:firstLine="420" w:firstLineChars="200"/>
    </w:pPr>
  </w:style>
  <w:style w:type="paragraph" w:customStyle="1" w:styleId="114">
    <w:name w:val="Char Char1 Char Char"/>
    <w:basedOn w:val="1"/>
    <w:qFormat/>
    <w:uiPriority w:val="0"/>
    <w:rPr>
      <w:sz w:val="21"/>
      <w:szCs w:val="21"/>
    </w:rPr>
  </w:style>
  <w:style w:type="paragraph" w:customStyle="1" w:styleId="115">
    <w:name w:val="正文 New"/>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16">
    <w:name w:val="_Style 1"/>
    <w:basedOn w:val="1"/>
    <w:qFormat/>
    <w:uiPriority w:val="34"/>
    <w:pPr>
      <w:ind w:firstLine="420" w:firstLineChars="200"/>
    </w:pPr>
  </w:style>
  <w:style w:type="paragraph" w:customStyle="1" w:styleId="117">
    <w:name w:val="p"/>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3"/>
    <w:qFormat/>
    <w:uiPriority w:val="0"/>
    <w:pPr>
      <w:widowControl w:val="0"/>
      <w:jc w:val="both"/>
    </w:pPr>
    <w:rPr>
      <w:rFonts w:ascii="Calibri" w:hAnsi="Calibri" w:eastAsia="宋体" w:cs="Times New Roman"/>
      <w:lang w:val="en-US" w:eastAsia="zh-CN" w:bidi="ar-SA"/>
    </w:rPr>
  </w:style>
  <w:style w:type="paragraph" w:customStyle="1" w:styleId="12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5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27"/>
    <w:qFormat/>
    <w:uiPriority w:val="0"/>
    <w:rPr>
      <w:rFonts w:ascii="Times New Roman" w:hAnsi="Times New Roman" w:eastAsia="Times New Roman" w:cs="Times New Roman"/>
      <w:sz w:val="24"/>
      <w:szCs w:val="24"/>
      <w:lang w:val="en-US" w:eastAsia="zh-CN" w:bidi="ar-SA"/>
    </w:rPr>
  </w:style>
  <w:style w:type="paragraph" w:customStyle="1" w:styleId="125">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_28"/>
    <w:next w:val="1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缩进_1"/>
    <w:basedOn w:val="129"/>
    <w:qFormat/>
    <w:uiPriority w:val="0"/>
    <w:pPr>
      <w:ind w:firstLine="420" w:firstLineChars="200"/>
    </w:pPr>
    <w:rPr>
      <w:rFonts w:ascii="Calibri" w:hAnsi="Calibri"/>
      <w:szCs w:val="22"/>
    </w:rPr>
  </w:style>
  <w:style w:type="paragraph" w:customStyle="1" w:styleId="131">
    <w:name w:val="正文_28_0"/>
    <w:next w:val="1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尾注文本_2"/>
    <w:basedOn w:val="131"/>
    <w:qFormat/>
    <w:uiPriority w:val="0"/>
    <w:pPr>
      <w:snapToGrid w:val="0"/>
      <w:jc w:val="left"/>
    </w:pPr>
    <w:rPr>
      <w:rFonts w:ascii="宋体" w:hAnsi="宋体"/>
      <w:kern w:val="0"/>
      <w:sz w:val="28"/>
    </w:rPr>
  </w:style>
  <w:style w:type="paragraph" w:customStyle="1" w:styleId="133">
    <w:name w:val="正文文本_0"/>
    <w:basedOn w:val="131"/>
    <w:next w:val="131"/>
    <w:qFormat/>
    <w:uiPriority w:val="0"/>
    <w:pPr>
      <w:spacing w:after="120"/>
    </w:pPr>
    <w:rPr>
      <w:rFonts w:ascii="Calibri" w:hAnsi="Calibri"/>
      <w:szCs w:val="22"/>
    </w:rPr>
  </w:style>
  <w:style w:type="paragraph" w:customStyle="1" w:styleId="134">
    <w:name w:val="List Paragraph"/>
    <w:basedOn w:val="1"/>
    <w:qFormat/>
    <w:uiPriority w:val="99"/>
    <w:pPr>
      <w:ind w:firstLine="420" w:firstLineChars="200"/>
    </w:pPr>
  </w:style>
  <w:style w:type="paragraph" w:customStyle="1" w:styleId="135">
    <w:name w:val="修订1"/>
    <w:qFormat/>
    <w:uiPriority w:val="99"/>
    <w:rPr>
      <w:rFonts w:ascii="Times New Roman" w:hAnsi="Times New Roman" w:eastAsia="宋体" w:cs="Times New Roman"/>
      <w:kern w:val="2"/>
      <w:sz w:val="24"/>
      <w:szCs w:val="22"/>
      <w:lang w:val="en-US" w:eastAsia="zh-CN" w:bidi="ar-SA"/>
    </w:rPr>
  </w:style>
  <w:style w:type="paragraph" w:customStyle="1" w:styleId="136">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138">
    <w:name w:val="正文_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Revision_e5d3870c-2af0-4c34-9dd4-9f59ea1be35b"/>
    <w:qFormat/>
    <w:uiPriority w:val="99"/>
    <w:rPr>
      <w:rFonts w:ascii="Times New Roman" w:hAnsi="Times New Roman" w:eastAsia="宋体" w:cs="Times New Roman"/>
      <w:kern w:val="2"/>
      <w:sz w:val="24"/>
      <w:szCs w:val="22"/>
      <w:lang w:val="en-US" w:eastAsia="zh-CN" w:bidi="ar-SA"/>
    </w:rPr>
  </w:style>
  <w:style w:type="paragraph" w:customStyle="1" w:styleId="140">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41">
    <w:name w:val="font31"/>
    <w:basedOn w:val="33"/>
    <w:qFormat/>
    <w:uiPriority w:val="0"/>
    <w:rPr>
      <w:rFonts w:ascii="宋体-简" w:hAnsi="宋体-简" w:eastAsia="宋体-简" w:cs="宋体-简"/>
      <w:color w:val="000000"/>
      <w:sz w:val="24"/>
      <w:szCs w:val="24"/>
      <w:u w:val="none"/>
    </w:rPr>
  </w:style>
  <w:style w:type="character" w:customStyle="1" w:styleId="142">
    <w:name w:val="font71"/>
    <w:basedOn w:val="33"/>
    <w:qFormat/>
    <w:uiPriority w:val="0"/>
    <w:rPr>
      <w:rFonts w:hint="default" w:ascii="微软雅黑" w:hAnsi="微软雅黑" w:eastAsia="微软雅黑" w:cs="微软雅黑"/>
      <w:color w:val="000000"/>
      <w:sz w:val="24"/>
      <w:szCs w:val="24"/>
      <w:u w:val="none"/>
    </w:rPr>
  </w:style>
  <w:style w:type="character" w:customStyle="1" w:styleId="143">
    <w:name w:val="font41"/>
    <w:basedOn w:val="33"/>
    <w:qFormat/>
    <w:uiPriority w:val="0"/>
    <w:rPr>
      <w:rFonts w:hint="default" w:ascii="微软雅黑" w:hAnsi="微软雅黑" w:eastAsia="微软雅黑" w:cs="微软雅黑"/>
      <w:b/>
      <w:color w:val="000000"/>
      <w:sz w:val="24"/>
      <w:szCs w:val="24"/>
      <w:u w:val="none"/>
    </w:rPr>
  </w:style>
  <w:style w:type="character" w:customStyle="1" w:styleId="144">
    <w:name w:val="font101"/>
    <w:basedOn w:val="33"/>
    <w:qFormat/>
    <w:uiPriority w:val="0"/>
    <w:rPr>
      <w:rFonts w:hint="default" w:ascii="微软雅黑" w:hAnsi="微软雅黑" w:eastAsia="微软雅黑" w:cs="微软雅黑"/>
      <w:color w:val="000000"/>
      <w:sz w:val="24"/>
      <w:szCs w:val="24"/>
      <w:u w:val="none"/>
    </w:rPr>
  </w:style>
  <w:style w:type="character" w:customStyle="1" w:styleId="145">
    <w:name w:val="font11"/>
    <w:basedOn w:val="33"/>
    <w:qFormat/>
    <w:uiPriority w:val="0"/>
    <w:rPr>
      <w:rFonts w:ascii="Arial" w:hAnsi="Arial" w:cs="Arial"/>
      <w:color w:val="000000"/>
      <w:sz w:val="24"/>
      <w:szCs w:val="24"/>
      <w:u w:val="none"/>
    </w:rPr>
  </w:style>
  <w:style w:type="character" w:customStyle="1" w:styleId="146">
    <w:name w:val="font01"/>
    <w:basedOn w:val="33"/>
    <w:qFormat/>
    <w:uiPriority w:val="0"/>
    <w:rPr>
      <w:rFonts w:hint="eastAsia" w:ascii="宋体" w:hAnsi="宋体" w:eastAsia="宋体" w:cs="宋体"/>
      <w:color w:val="000000"/>
      <w:sz w:val="24"/>
      <w:szCs w:val="24"/>
      <w:u w:val="none"/>
    </w:rPr>
  </w:style>
  <w:style w:type="character" w:customStyle="1" w:styleId="147">
    <w:name w:val="font21"/>
    <w:basedOn w:val="33"/>
    <w:qFormat/>
    <w:uiPriority w:val="0"/>
    <w:rPr>
      <w:rFonts w:hint="default" w:ascii="微软雅黑" w:hAnsi="微软雅黑" w:eastAsia="微软雅黑" w:cs="微软雅黑"/>
      <w:color w:val="000000"/>
      <w:sz w:val="24"/>
      <w:szCs w:val="24"/>
      <w:u w:val="none"/>
    </w:rPr>
  </w:style>
  <w:style w:type="character" w:customStyle="1" w:styleId="148">
    <w:name w:val="font61"/>
    <w:basedOn w:val="33"/>
    <w:qFormat/>
    <w:uiPriority w:val="0"/>
    <w:rPr>
      <w:rFonts w:hint="default" w:ascii="微软雅黑" w:hAnsi="微软雅黑" w:eastAsia="微软雅黑" w:cs="微软雅黑"/>
      <w:color w:val="000000"/>
      <w:sz w:val="24"/>
      <w:szCs w:val="24"/>
      <w:u w:val="none"/>
    </w:rPr>
  </w:style>
  <w:style w:type="paragraph" w:customStyle="1" w:styleId="149">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31"/>
    <w:qFormat/>
    <w:uiPriority w:val="0"/>
    <w:rPr>
      <w:rFonts w:ascii="Times New Roman" w:hAnsi="Times New Roman" w:eastAsia="Times New Roman" w:cs="Times New Roman"/>
      <w:sz w:val="24"/>
      <w:szCs w:val="24"/>
      <w:lang w:val="en-US" w:eastAsia="zh-CN" w:bidi="ar-SA"/>
    </w:rPr>
  </w:style>
  <w:style w:type="paragraph" w:customStyle="1" w:styleId="154">
    <w:name w:val="33"/>
    <w:basedOn w:val="1"/>
    <w:qFormat/>
    <w:uiPriority w:val="0"/>
    <w:pPr>
      <w:widowControl/>
      <w:spacing w:afterLines="0"/>
      <w:ind w:firstLine="560"/>
      <w:jc w:val="left"/>
    </w:pPr>
    <w:rPr>
      <w:rFonts w:ascii="宋体" w:hAnsi="宋体" w:cs="宋体"/>
      <w:kern w:val="0"/>
      <w:sz w:val="24"/>
      <w:szCs w:val="28"/>
      <w:lang w:val="en-GB"/>
    </w:rPr>
  </w:style>
  <w:style w:type="paragraph" w:customStyle="1" w:styleId="155">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156">
    <w:name w:val="Plain Text"/>
    <w:basedOn w:val="1"/>
    <w:qFormat/>
    <w:uiPriority w:val="0"/>
    <w:rPr>
      <w:rFonts w:ascii="宋体" w:hAnsi="Courier New" w:cs="Courier New"/>
      <w:kern w:val="2"/>
      <w:sz w:val="21"/>
      <w:szCs w:val="21"/>
    </w:rPr>
  </w:style>
  <w:style w:type="paragraph" w:customStyle="1" w:styleId="157">
    <w:name w:val="纯文本1"/>
    <w:basedOn w:val="1"/>
    <w:qFormat/>
    <w:uiPriority w:val="0"/>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38193</Words>
  <Characters>39531</Characters>
  <Lines>0</Lines>
  <Paragraphs>2339</Paragraphs>
  <TotalTime>2</TotalTime>
  <ScaleCrop>false</ScaleCrop>
  <LinksUpToDate>false</LinksUpToDate>
  <CharactersWithSpaces>40712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2023-04-29T00:39:00Z</dcterms:created>
  <dc:creator>Administrator</dc:creator>
  <cp:lastModifiedBy>HsiaoDy</cp:lastModifiedBy>
  <cp:lastPrinted>2023-09-11T00:49:00Z</cp:lastPrinted>
  <dcterms:modified xsi:type="dcterms:W3CDTF">2023-11-07T04:42:50Z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CF43EFA8112845F498E430B1CB2589C4_13</vt:lpwstr>
  </property>
</Properties>
</file>